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269C0" w14:paraId="4CB663E4" w14:textId="77777777">
        <w:tblPrEx>
          <w:tblCellMar>
            <w:top w:w="0" w:type="dxa"/>
            <w:bottom w:w="0" w:type="dxa"/>
          </w:tblCellMar>
        </w:tblPrEx>
        <w:trPr>
          <w:tblCellSpacing w:w="60" w:type="dxa"/>
        </w:trPr>
        <w:tc>
          <w:tcPr>
            <w:tcW w:w="1200" w:type="pct"/>
            <w:shd w:val="clear" w:color="auto" w:fill="E7F0F9"/>
          </w:tcPr>
          <w:p w14:paraId="1A4F6247" w14:textId="77777777" w:rsidR="009269C0" w:rsidRDefault="00000000">
            <w:pPr>
              <w:spacing w:after="0" w:line="240" w:lineRule="auto"/>
            </w:pPr>
            <w:r>
              <w:rPr>
                <w:b/>
              </w:rPr>
              <w:t>RKP broj</w:t>
            </w:r>
          </w:p>
        </w:tc>
        <w:tc>
          <w:tcPr>
            <w:tcW w:w="0" w:type="auto"/>
            <w:shd w:val="clear" w:color="auto" w:fill="E7F0F9"/>
          </w:tcPr>
          <w:p w14:paraId="7279FB9B" w14:textId="77777777" w:rsidR="009269C0" w:rsidRDefault="00000000">
            <w:pPr>
              <w:spacing w:after="0" w:line="240" w:lineRule="auto"/>
            </w:pPr>
            <w:r>
              <w:t>34387</w:t>
            </w:r>
          </w:p>
        </w:tc>
      </w:tr>
      <w:tr w:rsidR="009269C0" w14:paraId="7BC923F3" w14:textId="77777777">
        <w:tblPrEx>
          <w:tblCellMar>
            <w:top w:w="0" w:type="dxa"/>
            <w:bottom w:w="0" w:type="dxa"/>
          </w:tblCellMar>
        </w:tblPrEx>
        <w:trPr>
          <w:tblCellSpacing w:w="60" w:type="dxa"/>
        </w:trPr>
        <w:tc>
          <w:tcPr>
            <w:tcW w:w="1200" w:type="pct"/>
            <w:shd w:val="clear" w:color="auto" w:fill="E7F0F9"/>
          </w:tcPr>
          <w:p w14:paraId="0C2301F7" w14:textId="77777777" w:rsidR="009269C0" w:rsidRDefault="00000000">
            <w:pPr>
              <w:spacing w:after="0" w:line="240" w:lineRule="auto"/>
            </w:pPr>
            <w:r>
              <w:rPr>
                <w:b/>
              </w:rPr>
              <w:t>Naziv obveznika</w:t>
            </w:r>
          </w:p>
        </w:tc>
        <w:tc>
          <w:tcPr>
            <w:tcW w:w="0" w:type="auto"/>
            <w:shd w:val="clear" w:color="auto" w:fill="E7F0F9"/>
          </w:tcPr>
          <w:p w14:paraId="360F15EE" w14:textId="77777777" w:rsidR="009269C0" w:rsidRDefault="00000000">
            <w:pPr>
              <w:spacing w:after="0" w:line="240" w:lineRule="auto"/>
            </w:pPr>
            <w:r>
              <w:t>OPĆINA TINJAN</w:t>
            </w:r>
          </w:p>
        </w:tc>
      </w:tr>
      <w:tr w:rsidR="009269C0" w14:paraId="05587A88" w14:textId="77777777">
        <w:tblPrEx>
          <w:tblCellMar>
            <w:top w:w="0" w:type="dxa"/>
            <w:bottom w:w="0" w:type="dxa"/>
          </w:tblCellMar>
        </w:tblPrEx>
        <w:trPr>
          <w:tblCellSpacing w:w="60" w:type="dxa"/>
        </w:trPr>
        <w:tc>
          <w:tcPr>
            <w:tcW w:w="1200" w:type="pct"/>
            <w:shd w:val="clear" w:color="auto" w:fill="E7F0F9"/>
          </w:tcPr>
          <w:p w14:paraId="6E750EF8" w14:textId="77777777" w:rsidR="009269C0" w:rsidRDefault="00000000">
            <w:pPr>
              <w:spacing w:after="0" w:line="240" w:lineRule="auto"/>
            </w:pPr>
            <w:r>
              <w:rPr>
                <w:b/>
              </w:rPr>
              <w:t>Razina</w:t>
            </w:r>
          </w:p>
        </w:tc>
        <w:tc>
          <w:tcPr>
            <w:tcW w:w="0" w:type="auto"/>
            <w:shd w:val="clear" w:color="auto" w:fill="E7F0F9"/>
          </w:tcPr>
          <w:p w14:paraId="1BCC3D4D" w14:textId="77777777" w:rsidR="009269C0" w:rsidRDefault="00000000">
            <w:pPr>
              <w:spacing w:after="0" w:line="240" w:lineRule="auto"/>
            </w:pPr>
            <w:r>
              <w:t>22</w:t>
            </w:r>
          </w:p>
        </w:tc>
      </w:tr>
    </w:tbl>
    <w:p w14:paraId="2E6178CB" w14:textId="77777777" w:rsidR="009269C0" w:rsidRDefault="00000000">
      <w:r>
        <w:br/>
      </w:r>
    </w:p>
    <w:p w14:paraId="6C63BEDD" w14:textId="77777777" w:rsidR="009269C0" w:rsidRDefault="00000000">
      <w:pPr>
        <w:spacing w:line="240" w:lineRule="auto"/>
        <w:jc w:val="center"/>
      </w:pPr>
      <w:r>
        <w:rPr>
          <w:b/>
          <w:sz w:val="28"/>
        </w:rPr>
        <w:t>BILJEŠKE UZ FINANCIJSKE IZVJEŠTAJE</w:t>
      </w:r>
    </w:p>
    <w:p w14:paraId="499E0A30" w14:textId="77777777" w:rsidR="009269C0" w:rsidRDefault="00000000">
      <w:pPr>
        <w:spacing w:line="240" w:lineRule="auto"/>
        <w:jc w:val="center"/>
      </w:pPr>
      <w:r>
        <w:rPr>
          <w:b/>
          <w:sz w:val="28"/>
        </w:rPr>
        <w:t>ZA RAZDOBLJE</w:t>
      </w:r>
    </w:p>
    <w:p w14:paraId="4EF9AE7A" w14:textId="77777777" w:rsidR="009269C0" w:rsidRDefault="00000000">
      <w:pPr>
        <w:spacing w:line="240" w:lineRule="auto"/>
        <w:jc w:val="center"/>
      </w:pPr>
      <w:r>
        <w:rPr>
          <w:b/>
          <w:sz w:val="28"/>
        </w:rPr>
        <w:t>I - IX 2025.</w:t>
      </w:r>
    </w:p>
    <w:p w14:paraId="5BA74C65" w14:textId="77777777" w:rsidR="009269C0" w:rsidRDefault="009269C0"/>
    <w:p w14:paraId="3C2AA2DF" w14:textId="77777777" w:rsidR="009269C0" w:rsidRDefault="00000000">
      <w:pPr>
        <w:keepNext/>
        <w:spacing w:line="240" w:lineRule="auto"/>
        <w:jc w:val="center"/>
      </w:pPr>
      <w:r>
        <w:rPr>
          <w:b/>
          <w:sz w:val="28"/>
        </w:rPr>
        <w:t>Izvještaj o prihodima i rashodima, primicima i izdacima</w:t>
      </w:r>
    </w:p>
    <w:p w14:paraId="4AB7193B" w14:textId="77777777" w:rsidR="009269C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642500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4FCC90"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67B23D"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2DA6CE"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64DBBE"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4ED69F"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8C805A" w14:textId="77777777" w:rsidR="009269C0" w:rsidRDefault="00000000">
            <w:pPr>
              <w:keepNext/>
              <w:keepLines/>
              <w:spacing w:after="0" w:line="240" w:lineRule="auto"/>
              <w:jc w:val="center"/>
            </w:pPr>
            <w:r>
              <w:rPr>
                <w:b/>
                <w:sz w:val="18"/>
              </w:rPr>
              <w:t>Indeks (%)</w:t>
            </w:r>
          </w:p>
        </w:tc>
      </w:tr>
      <w:tr w:rsidR="009269C0" w14:paraId="0B89752C" w14:textId="77777777">
        <w:tblPrEx>
          <w:tblCellMar>
            <w:top w:w="0" w:type="dxa"/>
            <w:bottom w:w="0" w:type="dxa"/>
          </w:tblCellMar>
        </w:tblPrEx>
        <w:trPr>
          <w:cantSplit/>
          <w:trHeight w:val="560"/>
        </w:trPr>
        <w:tc>
          <w:tcPr>
            <w:tcW w:w="700" w:type="dxa"/>
            <w:tcMar>
              <w:top w:w="0" w:type="dxa"/>
              <w:bottom w:w="0" w:type="dxa"/>
            </w:tcMar>
            <w:vAlign w:val="center"/>
          </w:tcPr>
          <w:p w14:paraId="7A9C4E93" w14:textId="77777777" w:rsidR="009269C0" w:rsidRDefault="00000000">
            <w:pPr>
              <w:keepNext/>
              <w:keepLines/>
              <w:spacing w:after="0" w:line="240" w:lineRule="auto"/>
            </w:pPr>
            <w:r>
              <w:rPr>
                <w:sz w:val="18"/>
              </w:rPr>
              <w:t>6</w:t>
            </w:r>
          </w:p>
        </w:tc>
        <w:tc>
          <w:tcPr>
            <w:tcW w:w="3180" w:type="dxa"/>
            <w:tcMar>
              <w:top w:w="0" w:type="dxa"/>
              <w:bottom w:w="0" w:type="dxa"/>
            </w:tcMar>
            <w:vAlign w:val="center"/>
          </w:tcPr>
          <w:p w14:paraId="597F4DA5" w14:textId="77777777" w:rsidR="009269C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3D290AE" w14:textId="77777777" w:rsidR="009269C0" w:rsidRDefault="00000000">
            <w:pPr>
              <w:keepNext/>
              <w:keepLines/>
              <w:spacing w:after="0" w:line="240" w:lineRule="auto"/>
            </w:pPr>
            <w:r>
              <w:rPr>
                <w:sz w:val="18"/>
              </w:rPr>
              <w:t>6</w:t>
            </w:r>
          </w:p>
        </w:tc>
        <w:tc>
          <w:tcPr>
            <w:tcW w:w="1860" w:type="dxa"/>
            <w:tcMar>
              <w:top w:w="0" w:type="dxa"/>
              <w:bottom w:w="0" w:type="dxa"/>
            </w:tcMar>
            <w:vAlign w:val="center"/>
          </w:tcPr>
          <w:p w14:paraId="40051F9A" w14:textId="77777777" w:rsidR="009269C0" w:rsidRDefault="00000000">
            <w:pPr>
              <w:keepNext/>
              <w:keepLines/>
              <w:spacing w:after="0" w:line="240" w:lineRule="auto"/>
              <w:jc w:val="right"/>
            </w:pPr>
            <w:r>
              <w:rPr>
                <w:sz w:val="18"/>
              </w:rPr>
              <w:t>1.469.816,80</w:t>
            </w:r>
          </w:p>
        </w:tc>
        <w:tc>
          <w:tcPr>
            <w:tcW w:w="1860" w:type="dxa"/>
            <w:tcMar>
              <w:top w:w="0" w:type="dxa"/>
              <w:bottom w:w="0" w:type="dxa"/>
            </w:tcMar>
            <w:vAlign w:val="center"/>
          </w:tcPr>
          <w:p w14:paraId="1F9A4039" w14:textId="77777777" w:rsidR="009269C0" w:rsidRDefault="00000000">
            <w:pPr>
              <w:keepNext/>
              <w:keepLines/>
              <w:spacing w:after="0" w:line="240" w:lineRule="auto"/>
              <w:jc w:val="right"/>
            </w:pPr>
            <w:r>
              <w:rPr>
                <w:sz w:val="18"/>
              </w:rPr>
              <w:t>1.647.095,56</w:t>
            </w:r>
          </w:p>
        </w:tc>
        <w:tc>
          <w:tcPr>
            <w:tcW w:w="700" w:type="dxa"/>
            <w:tcMar>
              <w:top w:w="0" w:type="dxa"/>
              <w:bottom w:w="0" w:type="dxa"/>
            </w:tcMar>
            <w:vAlign w:val="center"/>
          </w:tcPr>
          <w:p w14:paraId="7B9E860C" w14:textId="77777777" w:rsidR="009269C0" w:rsidRDefault="00000000">
            <w:pPr>
              <w:keepNext/>
              <w:keepLines/>
              <w:spacing w:after="0" w:line="240" w:lineRule="auto"/>
              <w:jc w:val="right"/>
            </w:pPr>
            <w:r>
              <w:rPr>
                <w:sz w:val="18"/>
              </w:rPr>
              <w:t>112,1</w:t>
            </w:r>
          </w:p>
        </w:tc>
      </w:tr>
      <w:tr w:rsidR="009269C0" w14:paraId="6FB5C8E8" w14:textId="77777777">
        <w:tblPrEx>
          <w:tblCellMar>
            <w:top w:w="0" w:type="dxa"/>
            <w:bottom w:w="0" w:type="dxa"/>
          </w:tblCellMar>
        </w:tblPrEx>
        <w:trPr>
          <w:cantSplit/>
          <w:trHeight w:val="560"/>
        </w:trPr>
        <w:tc>
          <w:tcPr>
            <w:tcW w:w="700" w:type="dxa"/>
            <w:tcMar>
              <w:top w:w="0" w:type="dxa"/>
              <w:bottom w:w="0" w:type="dxa"/>
            </w:tcMar>
            <w:vAlign w:val="center"/>
          </w:tcPr>
          <w:p w14:paraId="3360C15F" w14:textId="77777777" w:rsidR="009269C0" w:rsidRDefault="00000000">
            <w:pPr>
              <w:keepNext/>
              <w:keepLines/>
              <w:spacing w:after="0" w:line="240" w:lineRule="auto"/>
            </w:pPr>
            <w:r>
              <w:rPr>
                <w:sz w:val="18"/>
              </w:rPr>
              <w:t>3</w:t>
            </w:r>
          </w:p>
        </w:tc>
        <w:tc>
          <w:tcPr>
            <w:tcW w:w="3180" w:type="dxa"/>
            <w:tcMar>
              <w:top w:w="0" w:type="dxa"/>
              <w:bottom w:w="0" w:type="dxa"/>
            </w:tcMar>
            <w:vAlign w:val="center"/>
          </w:tcPr>
          <w:p w14:paraId="21E72FAE" w14:textId="77777777" w:rsidR="009269C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D1CFBB4" w14:textId="77777777" w:rsidR="009269C0" w:rsidRDefault="00000000">
            <w:pPr>
              <w:keepNext/>
              <w:keepLines/>
              <w:spacing w:after="0" w:line="240" w:lineRule="auto"/>
            </w:pPr>
            <w:r>
              <w:rPr>
                <w:sz w:val="18"/>
              </w:rPr>
              <w:t>3</w:t>
            </w:r>
          </w:p>
        </w:tc>
        <w:tc>
          <w:tcPr>
            <w:tcW w:w="1860" w:type="dxa"/>
            <w:tcMar>
              <w:top w:w="0" w:type="dxa"/>
              <w:bottom w:w="0" w:type="dxa"/>
            </w:tcMar>
            <w:vAlign w:val="center"/>
          </w:tcPr>
          <w:p w14:paraId="1BF10BE6" w14:textId="77777777" w:rsidR="009269C0" w:rsidRDefault="00000000">
            <w:pPr>
              <w:keepNext/>
              <w:keepLines/>
              <w:spacing w:after="0" w:line="240" w:lineRule="auto"/>
              <w:jc w:val="right"/>
            </w:pPr>
            <w:r>
              <w:rPr>
                <w:sz w:val="18"/>
              </w:rPr>
              <w:t>910.580,44</w:t>
            </w:r>
          </w:p>
        </w:tc>
        <w:tc>
          <w:tcPr>
            <w:tcW w:w="1860" w:type="dxa"/>
            <w:tcMar>
              <w:top w:w="0" w:type="dxa"/>
              <w:bottom w:w="0" w:type="dxa"/>
            </w:tcMar>
            <w:vAlign w:val="center"/>
          </w:tcPr>
          <w:p w14:paraId="0962326D" w14:textId="77777777" w:rsidR="009269C0" w:rsidRDefault="00000000">
            <w:pPr>
              <w:keepNext/>
              <w:keepLines/>
              <w:spacing w:after="0" w:line="240" w:lineRule="auto"/>
              <w:jc w:val="right"/>
            </w:pPr>
            <w:r>
              <w:rPr>
                <w:sz w:val="18"/>
              </w:rPr>
              <w:t>1.249.463,59</w:t>
            </w:r>
          </w:p>
        </w:tc>
        <w:tc>
          <w:tcPr>
            <w:tcW w:w="700" w:type="dxa"/>
            <w:tcMar>
              <w:top w:w="0" w:type="dxa"/>
              <w:bottom w:w="0" w:type="dxa"/>
            </w:tcMar>
            <w:vAlign w:val="center"/>
          </w:tcPr>
          <w:p w14:paraId="17353819" w14:textId="77777777" w:rsidR="009269C0" w:rsidRDefault="00000000">
            <w:pPr>
              <w:keepNext/>
              <w:keepLines/>
              <w:spacing w:after="0" w:line="240" w:lineRule="auto"/>
              <w:jc w:val="right"/>
            </w:pPr>
            <w:r>
              <w:rPr>
                <w:sz w:val="18"/>
              </w:rPr>
              <w:t>137,2</w:t>
            </w:r>
          </w:p>
        </w:tc>
      </w:tr>
      <w:tr w:rsidR="009269C0" w14:paraId="58830FD4" w14:textId="77777777">
        <w:tblPrEx>
          <w:tblCellMar>
            <w:top w:w="0" w:type="dxa"/>
            <w:bottom w:w="0" w:type="dxa"/>
          </w:tblCellMar>
        </w:tblPrEx>
        <w:trPr>
          <w:cantSplit/>
          <w:trHeight w:val="560"/>
        </w:trPr>
        <w:tc>
          <w:tcPr>
            <w:tcW w:w="700" w:type="dxa"/>
            <w:tcMar>
              <w:top w:w="0" w:type="dxa"/>
              <w:bottom w:w="0" w:type="dxa"/>
            </w:tcMar>
            <w:vAlign w:val="center"/>
          </w:tcPr>
          <w:p w14:paraId="2BE96478" w14:textId="77777777" w:rsidR="009269C0" w:rsidRDefault="009269C0">
            <w:pPr>
              <w:keepNext/>
              <w:keepLines/>
              <w:spacing w:after="0" w:line="240" w:lineRule="auto"/>
            </w:pPr>
          </w:p>
        </w:tc>
        <w:tc>
          <w:tcPr>
            <w:tcW w:w="3180" w:type="dxa"/>
            <w:tcMar>
              <w:top w:w="0" w:type="dxa"/>
              <w:bottom w:w="0" w:type="dxa"/>
            </w:tcMar>
            <w:vAlign w:val="center"/>
          </w:tcPr>
          <w:p w14:paraId="33C0108F" w14:textId="77777777" w:rsidR="009269C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A4803EE" w14:textId="77777777" w:rsidR="009269C0" w:rsidRDefault="00000000">
            <w:pPr>
              <w:keepNext/>
              <w:keepLines/>
              <w:spacing w:after="0" w:line="240" w:lineRule="auto"/>
            </w:pPr>
            <w:r>
              <w:rPr>
                <w:b/>
                <w:sz w:val="18"/>
              </w:rPr>
              <w:t>X001</w:t>
            </w:r>
          </w:p>
        </w:tc>
        <w:tc>
          <w:tcPr>
            <w:tcW w:w="1860" w:type="dxa"/>
            <w:tcMar>
              <w:top w:w="0" w:type="dxa"/>
              <w:bottom w:w="0" w:type="dxa"/>
            </w:tcMar>
            <w:vAlign w:val="center"/>
          </w:tcPr>
          <w:p w14:paraId="67CBB453" w14:textId="77777777" w:rsidR="009269C0" w:rsidRDefault="00000000">
            <w:pPr>
              <w:keepNext/>
              <w:keepLines/>
              <w:spacing w:after="0" w:line="240" w:lineRule="auto"/>
              <w:jc w:val="right"/>
            </w:pPr>
            <w:r>
              <w:rPr>
                <w:b/>
                <w:sz w:val="18"/>
              </w:rPr>
              <w:t>559.236,36</w:t>
            </w:r>
          </w:p>
        </w:tc>
        <w:tc>
          <w:tcPr>
            <w:tcW w:w="1860" w:type="dxa"/>
            <w:tcMar>
              <w:top w:w="0" w:type="dxa"/>
              <w:bottom w:w="0" w:type="dxa"/>
            </w:tcMar>
            <w:vAlign w:val="center"/>
          </w:tcPr>
          <w:p w14:paraId="0CD1BF74" w14:textId="77777777" w:rsidR="009269C0" w:rsidRDefault="00000000">
            <w:pPr>
              <w:keepNext/>
              <w:keepLines/>
              <w:spacing w:after="0" w:line="240" w:lineRule="auto"/>
              <w:jc w:val="right"/>
            </w:pPr>
            <w:r>
              <w:rPr>
                <w:b/>
                <w:sz w:val="18"/>
              </w:rPr>
              <w:t>397.631,97</w:t>
            </w:r>
          </w:p>
        </w:tc>
        <w:tc>
          <w:tcPr>
            <w:tcW w:w="700" w:type="dxa"/>
            <w:tcMar>
              <w:top w:w="0" w:type="dxa"/>
              <w:bottom w:w="0" w:type="dxa"/>
            </w:tcMar>
            <w:vAlign w:val="center"/>
          </w:tcPr>
          <w:p w14:paraId="65AA7CCF" w14:textId="77777777" w:rsidR="009269C0" w:rsidRDefault="00000000">
            <w:pPr>
              <w:keepNext/>
              <w:keepLines/>
              <w:spacing w:after="0" w:line="240" w:lineRule="auto"/>
              <w:jc w:val="right"/>
            </w:pPr>
            <w:r>
              <w:rPr>
                <w:b/>
                <w:sz w:val="18"/>
              </w:rPr>
              <w:t>71,1</w:t>
            </w:r>
          </w:p>
        </w:tc>
      </w:tr>
      <w:tr w:rsidR="009269C0" w14:paraId="19463479" w14:textId="77777777">
        <w:tblPrEx>
          <w:tblCellMar>
            <w:top w:w="0" w:type="dxa"/>
            <w:bottom w:w="0" w:type="dxa"/>
          </w:tblCellMar>
        </w:tblPrEx>
        <w:trPr>
          <w:cantSplit/>
          <w:trHeight w:val="560"/>
        </w:trPr>
        <w:tc>
          <w:tcPr>
            <w:tcW w:w="700" w:type="dxa"/>
            <w:tcMar>
              <w:top w:w="0" w:type="dxa"/>
              <w:bottom w:w="0" w:type="dxa"/>
            </w:tcMar>
            <w:vAlign w:val="center"/>
          </w:tcPr>
          <w:p w14:paraId="370310CE" w14:textId="77777777" w:rsidR="009269C0" w:rsidRDefault="00000000">
            <w:pPr>
              <w:keepNext/>
              <w:keepLines/>
              <w:spacing w:after="0" w:line="240" w:lineRule="auto"/>
            </w:pPr>
            <w:r>
              <w:rPr>
                <w:sz w:val="18"/>
              </w:rPr>
              <w:t>7</w:t>
            </w:r>
          </w:p>
        </w:tc>
        <w:tc>
          <w:tcPr>
            <w:tcW w:w="3180" w:type="dxa"/>
            <w:tcMar>
              <w:top w:w="0" w:type="dxa"/>
              <w:bottom w:w="0" w:type="dxa"/>
            </w:tcMar>
            <w:vAlign w:val="center"/>
          </w:tcPr>
          <w:p w14:paraId="0BA8920B" w14:textId="77777777" w:rsidR="009269C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CF7765A" w14:textId="77777777" w:rsidR="009269C0" w:rsidRDefault="00000000">
            <w:pPr>
              <w:keepNext/>
              <w:keepLines/>
              <w:spacing w:after="0" w:line="240" w:lineRule="auto"/>
            </w:pPr>
            <w:r>
              <w:rPr>
                <w:sz w:val="18"/>
              </w:rPr>
              <w:t>7</w:t>
            </w:r>
          </w:p>
        </w:tc>
        <w:tc>
          <w:tcPr>
            <w:tcW w:w="1860" w:type="dxa"/>
            <w:tcMar>
              <w:top w:w="0" w:type="dxa"/>
              <w:bottom w:w="0" w:type="dxa"/>
            </w:tcMar>
            <w:vAlign w:val="center"/>
          </w:tcPr>
          <w:p w14:paraId="1C844A0B" w14:textId="77777777" w:rsidR="009269C0" w:rsidRDefault="00000000">
            <w:pPr>
              <w:keepNext/>
              <w:keepLines/>
              <w:spacing w:after="0" w:line="240" w:lineRule="auto"/>
              <w:jc w:val="right"/>
            </w:pPr>
            <w:r>
              <w:rPr>
                <w:sz w:val="18"/>
              </w:rPr>
              <w:t>2.180,68</w:t>
            </w:r>
          </w:p>
        </w:tc>
        <w:tc>
          <w:tcPr>
            <w:tcW w:w="1860" w:type="dxa"/>
            <w:tcMar>
              <w:top w:w="0" w:type="dxa"/>
              <w:bottom w:w="0" w:type="dxa"/>
            </w:tcMar>
            <w:vAlign w:val="center"/>
          </w:tcPr>
          <w:p w14:paraId="1A193854" w14:textId="77777777" w:rsidR="009269C0" w:rsidRDefault="00000000">
            <w:pPr>
              <w:keepNext/>
              <w:keepLines/>
              <w:spacing w:after="0" w:line="240" w:lineRule="auto"/>
              <w:jc w:val="right"/>
            </w:pPr>
            <w:r>
              <w:rPr>
                <w:sz w:val="18"/>
              </w:rPr>
              <w:t>45.570,00</w:t>
            </w:r>
          </w:p>
        </w:tc>
        <w:tc>
          <w:tcPr>
            <w:tcW w:w="700" w:type="dxa"/>
            <w:tcMar>
              <w:top w:w="0" w:type="dxa"/>
              <w:bottom w:w="0" w:type="dxa"/>
            </w:tcMar>
            <w:vAlign w:val="center"/>
          </w:tcPr>
          <w:p w14:paraId="5492A80F" w14:textId="77777777" w:rsidR="009269C0" w:rsidRDefault="00000000">
            <w:pPr>
              <w:keepNext/>
              <w:keepLines/>
              <w:spacing w:after="0" w:line="240" w:lineRule="auto"/>
              <w:jc w:val="right"/>
            </w:pPr>
            <w:r>
              <w:rPr>
                <w:sz w:val="18"/>
              </w:rPr>
              <w:t>2089,7</w:t>
            </w:r>
          </w:p>
        </w:tc>
      </w:tr>
      <w:tr w:rsidR="009269C0" w14:paraId="5E14A739" w14:textId="77777777">
        <w:tblPrEx>
          <w:tblCellMar>
            <w:top w:w="0" w:type="dxa"/>
            <w:bottom w:w="0" w:type="dxa"/>
          </w:tblCellMar>
        </w:tblPrEx>
        <w:trPr>
          <w:cantSplit/>
          <w:trHeight w:val="560"/>
        </w:trPr>
        <w:tc>
          <w:tcPr>
            <w:tcW w:w="700" w:type="dxa"/>
            <w:tcMar>
              <w:top w:w="0" w:type="dxa"/>
              <w:bottom w:w="0" w:type="dxa"/>
            </w:tcMar>
            <w:vAlign w:val="center"/>
          </w:tcPr>
          <w:p w14:paraId="3557C473" w14:textId="77777777" w:rsidR="009269C0" w:rsidRDefault="00000000">
            <w:pPr>
              <w:keepNext/>
              <w:keepLines/>
              <w:spacing w:after="0" w:line="240" w:lineRule="auto"/>
            </w:pPr>
            <w:r>
              <w:rPr>
                <w:sz w:val="18"/>
              </w:rPr>
              <w:t>4</w:t>
            </w:r>
          </w:p>
        </w:tc>
        <w:tc>
          <w:tcPr>
            <w:tcW w:w="3180" w:type="dxa"/>
            <w:tcMar>
              <w:top w:w="0" w:type="dxa"/>
              <w:bottom w:w="0" w:type="dxa"/>
            </w:tcMar>
            <w:vAlign w:val="center"/>
          </w:tcPr>
          <w:p w14:paraId="031835FD" w14:textId="77777777" w:rsidR="009269C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2DBE5F4" w14:textId="77777777" w:rsidR="009269C0" w:rsidRDefault="00000000">
            <w:pPr>
              <w:keepNext/>
              <w:keepLines/>
              <w:spacing w:after="0" w:line="240" w:lineRule="auto"/>
            </w:pPr>
            <w:r>
              <w:rPr>
                <w:sz w:val="18"/>
              </w:rPr>
              <w:t>4</w:t>
            </w:r>
          </w:p>
        </w:tc>
        <w:tc>
          <w:tcPr>
            <w:tcW w:w="1860" w:type="dxa"/>
            <w:tcMar>
              <w:top w:w="0" w:type="dxa"/>
              <w:bottom w:w="0" w:type="dxa"/>
            </w:tcMar>
            <w:vAlign w:val="center"/>
          </w:tcPr>
          <w:p w14:paraId="5911A093" w14:textId="77777777" w:rsidR="009269C0" w:rsidRDefault="00000000">
            <w:pPr>
              <w:keepNext/>
              <w:keepLines/>
              <w:spacing w:after="0" w:line="240" w:lineRule="auto"/>
              <w:jc w:val="right"/>
            </w:pPr>
            <w:r>
              <w:rPr>
                <w:sz w:val="18"/>
              </w:rPr>
              <w:t>141.730,74</w:t>
            </w:r>
          </w:p>
        </w:tc>
        <w:tc>
          <w:tcPr>
            <w:tcW w:w="1860" w:type="dxa"/>
            <w:tcMar>
              <w:top w:w="0" w:type="dxa"/>
              <w:bottom w:w="0" w:type="dxa"/>
            </w:tcMar>
            <w:vAlign w:val="center"/>
          </w:tcPr>
          <w:p w14:paraId="144A1D91" w14:textId="77777777" w:rsidR="009269C0" w:rsidRDefault="00000000">
            <w:pPr>
              <w:keepNext/>
              <w:keepLines/>
              <w:spacing w:after="0" w:line="240" w:lineRule="auto"/>
              <w:jc w:val="right"/>
            </w:pPr>
            <w:r>
              <w:rPr>
                <w:sz w:val="18"/>
              </w:rPr>
              <w:t>524.012,72</w:t>
            </w:r>
          </w:p>
        </w:tc>
        <w:tc>
          <w:tcPr>
            <w:tcW w:w="700" w:type="dxa"/>
            <w:tcMar>
              <w:top w:w="0" w:type="dxa"/>
              <w:bottom w:w="0" w:type="dxa"/>
            </w:tcMar>
            <w:vAlign w:val="center"/>
          </w:tcPr>
          <w:p w14:paraId="7A5D084F" w14:textId="77777777" w:rsidR="009269C0" w:rsidRDefault="00000000">
            <w:pPr>
              <w:keepNext/>
              <w:keepLines/>
              <w:spacing w:after="0" w:line="240" w:lineRule="auto"/>
              <w:jc w:val="right"/>
            </w:pPr>
            <w:r>
              <w:rPr>
                <w:sz w:val="18"/>
              </w:rPr>
              <w:t>369,7</w:t>
            </w:r>
          </w:p>
        </w:tc>
      </w:tr>
      <w:tr w:rsidR="009269C0" w14:paraId="3EC86BCF" w14:textId="77777777">
        <w:tblPrEx>
          <w:tblCellMar>
            <w:top w:w="0" w:type="dxa"/>
            <w:bottom w:w="0" w:type="dxa"/>
          </w:tblCellMar>
        </w:tblPrEx>
        <w:trPr>
          <w:cantSplit/>
          <w:trHeight w:val="560"/>
        </w:trPr>
        <w:tc>
          <w:tcPr>
            <w:tcW w:w="700" w:type="dxa"/>
            <w:tcMar>
              <w:top w:w="0" w:type="dxa"/>
              <w:bottom w:w="0" w:type="dxa"/>
            </w:tcMar>
            <w:vAlign w:val="center"/>
          </w:tcPr>
          <w:p w14:paraId="59601E88" w14:textId="77777777" w:rsidR="009269C0" w:rsidRDefault="009269C0">
            <w:pPr>
              <w:keepNext/>
              <w:keepLines/>
              <w:spacing w:after="0" w:line="240" w:lineRule="auto"/>
            </w:pPr>
          </w:p>
        </w:tc>
        <w:tc>
          <w:tcPr>
            <w:tcW w:w="3180" w:type="dxa"/>
            <w:tcMar>
              <w:top w:w="0" w:type="dxa"/>
              <w:bottom w:w="0" w:type="dxa"/>
            </w:tcMar>
            <w:vAlign w:val="center"/>
          </w:tcPr>
          <w:p w14:paraId="578025AA" w14:textId="77777777" w:rsidR="009269C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A31D7ED" w14:textId="77777777" w:rsidR="009269C0" w:rsidRDefault="00000000">
            <w:pPr>
              <w:keepNext/>
              <w:keepLines/>
              <w:spacing w:after="0" w:line="240" w:lineRule="auto"/>
            </w:pPr>
            <w:r>
              <w:rPr>
                <w:b/>
                <w:sz w:val="18"/>
              </w:rPr>
              <w:t>Y002</w:t>
            </w:r>
          </w:p>
        </w:tc>
        <w:tc>
          <w:tcPr>
            <w:tcW w:w="1860" w:type="dxa"/>
            <w:tcMar>
              <w:top w:w="0" w:type="dxa"/>
              <w:bottom w:w="0" w:type="dxa"/>
            </w:tcMar>
            <w:vAlign w:val="center"/>
          </w:tcPr>
          <w:p w14:paraId="153591E4" w14:textId="77777777" w:rsidR="009269C0" w:rsidRDefault="00000000">
            <w:pPr>
              <w:keepNext/>
              <w:keepLines/>
              <w:spacing w:after="0" w:line="240" w:lineRule="auto"/>
              <w:jc w:val="right"/>
            </w:pPr>
            <w:r>
              <w:rPr>
                <w:b/>
                <w:sz w:val="18"/>
              </w:rPr>
              <w:t>139.550,06</w:t>
            </w:r>
          </w:p>
        </w:tc>
        <w:tc>
          <w:tcPr>
            <w:tcW w:w="1860" w:type="dxa"/>
            <w:tcMar>
              <w:top w:w="0" w:type="dxa"/>
              <w:bottom w:w="0" w:type="dxa"/>
            </w:tcMar>
            <w:vAlign w:val="center"/>
          </w:tcPr>
          <w:p w14:paraId="432A95CB" w14:textId="77777777" w:rsidR="009269C0" w:rsidRDefault="00000000">
            <w:pPr>
              <w:keepNext/>
              <w:keepLines/>
              <w:spacing w:after="0" w:line="240" w:lineRule="auto"/>
              <w:jc w:val="right"/>
            </w:pPr>
            <w:r>
              <w:rPr>
                <w:b/>
                <w:sz w:val="18"/>
              </w:rPr>
              <w:t>478.442,72</w:t>
            </w:r>
          </w:p>
        </w:tc>
        <w:tc>
          <w:tcPr>
            <w:tcW w:w="700" w:type="dxa"/>
            <w:tcMar>
              <w:top w:w="0" w:type="dxa"/>
              <w:bottom w:w="0" w:type="dxa"/>
            </w:tcMar>
            <w:vAlign w:val="center"/>
          </w:tcPr>
          <w:p w14:paraId="53C16EE7" w14:textId="77777777" w:rsidR="009269C0" w:rsidRDefault="00000000">
            <w:pPr>
              <w:keepNext/>
              <w:keepLines/>
              <w:spacing w:after="0" w:line="240" w:lineRule="auto"/>
              <w:jc w:val="right"/>
            </w:pPr>
            <w:r>
              <w:rPr>
                <w:b/>
                <w:sz w:val="18"/>
              </w:rPr>
              <w:t>342,8</w:t>
            </w:r>
          </w:p>
        </w:tc>
      </w:tr>
      <w:tr w:rsidR="009269C0" w14:paraId="2DA87C52" w14:textId="77777777">
        <w:tblPrEx>
          <w:tblCellMar>
            <w:top w:w="0" w:type="dxa"/>
            <w:bottom w:w="0" w:type="dxa"/>
          </w:tblCellMar>
        </w:tblPrEx>
        <w:trPr>
          <w:cantSplit/>
          <w:trHeight w:val="560"/>
        </w:trPr>
        <w:tc>
          <w:tcPr>
            <w:tcW w:w="700" w:type="dxa"/>
            <w:tcMar>
              <w:top w:w="0" w:type="dxa"/>
              <w:bottom w:w="0" w:type="dxa"/>
            </w:tcMar>
            <w:vAlign w:val="center"/>
          </w:tcPr>
          <w:p w14:paraId="29DCC083" w14:textId="77777777" w:rsidR="009269C0" w:rsidRDefault="00000000">
            <w:pPr>
              <w:keepNext/>
              <w:keepLines/>
              <w:spacing w:after="0" w:line="240" w:lineRule="auto"/>
            </w:pPr>
            <w:r>
              <w:rPr>
                <w:sz w:val="18"/>
              </w:rPr>
              <w:t>8</w:t>
            </w:r>
          </w:p>
        </w:tc>
        <w:tc>
          <w:tcPr>
            <w:tcW w:w="3180" w:type="dxa"/>
            <w:tcMar>
              <w:top w:w="0" w:type="dxa"/>
              <w:bottom w:w="0" w:type="dxa"/>
            </w:tcMar>
            <w:vAlign w:val="center"/>
          </w:tcPr>
          <w:p w14:paraId="14D2330A" w14:textId="77777777" w:rsidR="009269C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EFCCB1E" w14:textId="77777777" w:rsidR="009269C0" w:rsidRDefault="00000000">
            <w:pPr>
              <w:keepNext/>
              <w:keepLines/>
              <w:spacing w:after="0" w:line="240" w:lineRule="auto"/>
            </w:pPr>
            <w:r>
              <w:rPr>
                <w:sz w:val="18"/>
              </w:rPr>
              <w:t>8</w:t>
            </w:r>
          </w:p>
        </w:tc>
        <w:tc>
          <w:tcPr>
            <w:tcW w:w="1860" w:type="dxa"/>
            <w:tcMar>
              <w:top w:w="0" w:type="dxa"/>
              <w:bottom w:w="0" w:type="dxa"/>
            </w:tcMar>
            <w:vAlign w:val="center"/>
          </w:tcPr>
          <w:p w14:paraId="2309187D" w14:textId="77777777" w:rsidR="009269C0" w:rsidRDefault="00000000">
            <w:pPr>
              <w:keepNext/>
              <w:keepLines/>
              <w:spacing w:after="0" w:line="240" w:lineRule="auto"/>
              <w:jc w:val="right"/>
            </w:pPr>
            <w:r>
              <w:rPr>
                <w:sz w:val="18"/>
              </w:rPr>
              <w:t>0,00</w:t>
            </w:r>
          </w:p>
        </w:tc>
        <w:tc>
          <w:tcPr>
            <w:tcW w:w="1860" w:type="dxa"/>
            <w:tcMar>
              <w:top w:w="0" w:type="dxa"/>
              <w:bottom w:w="0" w:type="dxa"/>
            </w:tcMar>
            <w:vAlign w:val="center"/>
          </w:tcPr>
          <w:p w14:paraId="2EFD3E0A" w14:textId="77777777" w:rsidR="009269C0" w:rsidRDefault="00000000">
            <w:pPr>
              <w:keepNext/>
              <w:keepLines/>
              <w:spacing w:after="0" w:line="240" w:lineRule="auto"/>
              <w:jc w:val="right"/>
            </w:pPr>
            <w:r>
              <w:rPr>
                <w:sz w:val="18"/>
              </w:rPr>
              <w:t>0,00</w:t>
            </w:r>
          </w:p>
        </w:tc>
        <w:tc>
          <w:tcPr>
            <w:tcW w:w="700" w:type="dxa"/>
            <w:tcMar>
              <w:top w:w="0" w:type="dxa"/>
              <w:bottom w:w="0" w:type="dxa"/>
            </w:tcMar>
            <w:vAlign w:val="center"/>
          </w:tcPr>
          <w:p w14:paraId="4441DC2D" w14:textId="77777777" w:rsidR="009269C0" w:rsidRDefault="00000000">
            <w:pPr>
              <w:keepNext/>
              <w:keepLines/>
              <w:spacing w:after="0" w:line="240" w:lineRule="auto"/>
              <w:jc w:val="right"/>
            </w:pPr>
            <w:r>
              <w:rPr>
                <w:sz w:val="18"/>
              </w:rPr>
              <w:t>-</w:t>
            </w:r>
          </w:p>
        </w:tc>
      </w:tr>
      <w:tr w:rsidR="009269C0" w14:paraId="1B6C389F" w14:textId="77777777">
        <w:tblPrEx>
          <w:tblCellMar>
            <w:top w:w="0" w:type="dxa"/>
            <w:bottom w:w="0" w:type="dxa"/>
          </w:tblCellMar>
        </w:tblPrEx>
        <w:trPr>
          <w:cantSplit/>
          <w:trHeight w:val="560"/>
        </w:trPr>
        <w:tc>
          <w:tcPr>
            <w:tcW w:w="700" w:type="dxa"/>
            <w:tcMar>
              <w:top w:w="0" w:type="dxa"/>
              <w:bottom w:w="0" w:type="dxa"/>
            </w:tcMar>
            <w:vAlign w:val="center"/>
          </w:tcPr>
          <w:p w14:paraId="33B624B1" w14:textId="77777777" w:rsidR="009269C0" w:rsidRDefault="00000000">
            <w:pPr>
              <w:keepNext/>
              <w:keepLines/>
              <w:spacing w:after="0" w:line="240" w:lineRule="auto"/>
            </w:pPr>
            <w:r>
              <w:rPr>
                <w:sz w:val="18"/>
              </w:rPr>
              <w:t>5</w:t>
            </w:r>
          </w:p>
        </w:tc>
        <w:tc>
          <w:tcPr>
            <w:tcW w:w="3180" w:type="dxa"/>
            <w:tcMar>
              <w:top w:w="0" w:type="dxa"/>
              <w:bottom w:w="0" w:type="dxa"/>
            </w:tcMar>
            <w:vAlign w:val="center"/>
          </w:tcPr>
          <w:p w14:paraId="6DAA580A" w14:textId="77777777" w:rsidR="009269C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B006B3F" w14:textId="77777777" w:rsidR="009269C0" w:rsidRDefault="00000000">
            <w:pPr>
              <w:keepNext/>
              <w:keepLines/>
              <w:spacing w:after="0" w:line="240" w:lineRule="auto"/>
            </w:pPr>
            <w:r>
              <w:rPr>
                <w:sz w:val="18"/>
              </w:rPr>
              <w:t>5</w:t>
            </w:r>
          </w:p>
        </w:tc>
        <w:tc>
          <w:tcPr>
            <w:tcW w:w="1860" w:type="dxa"/>
            <w:tcMar>
              <w:top w:w="0" w:type="dxa"/>
              <w:bottom w:w="0" w:type="dxa"/>
            </w:tcMar>
            <w:vAlign w:val="center"/>
          </w:tcPr>
          <w:p w14:paraId="1A1F3438" w14:textId="77777777" w:rsidR="009269C0" w:rsidRDefault="00000000">
            <w:pPr>
              <w:keepNext/>
              <w:keepLines/>
              <w:spacing w:after="0" w:line="240" w:lineRule="auto"/>
              <w:jc w:val="right"/>
            </w:pPr>
            <w:r>
              <w:rPr>
                <w:sz w:val="18"/>
              </w:rPr>
              <w:t>40.942,71</w:t>
            </w:r>
          </w:p>
        </w:tc>
        <w:tc>
          <w:tcPr>
            <w:tcW w:w="1860" w:type="dxa"/>
            <w:tcMar>
              <w:top w:w="0" w:type="dxa"/>
              <w:bottom w:w="0" w:type="dxa"/>
            </w:tcMar>
            <w:vAlign w:val="center"/>
          </w:tcPr>
          <w:p w14:paraId="3A230423" w14:textId="77777777" w:rsidR="009269C0" w:rsidRDefault="00000000">
            <w:pPr>
              <w:keepNext/>
              <w:keepLines/>
              <w:spacing w:after="0" w:line="240" w:lineRule="auto"/>
              <w:jc w:val="right"/>
            </w:pPr>
            <w:r>
              <w:rPr>
                <w:sz w:val="18"/>
              </w:rPr>
              <w:t>37.228,95</w:t>
            </w:r>
          </w:p>
        </w:tc>
        <w:tc>
          <w:tcPr>
            <w:tcW w:w="700" w:type="dxa"/>
            <w:tcMar>
              <w:top w:w="0" w:type="dxa"/>
              <w:bottom w:w="0" w:type="dxa"/>
            </w:tcMar>
            <w:vAlign w:val="center"/>
          </w:tcPr>
          <w:p w14:paraId="6C628A9A" w14:textId="77777777" w:rsidR="009269C0" w:rsidRDefault="00000000">
            <w:pPr>
              <w:keepNext/>
              <w:keepLines/>
              <w:spacing w:after="0" w:line="240" w:lineRule="auto"/>
              <w:jc w:val="right"/>
            </w:pPr>
            <w:r>
              <w:rPr>
                <w:sz w:val="18"/>
              </w:rPr>
              <w:t>90,9</w:t>
            </w:r>
          </w:p>
        </w:tc>
      </w:tr>
      <w:tr w:rsidR="009269C0" w14:paraId="548BA2FC" w14:textId="77777777">
        <w:tblPrEx>
          <w:tblCellMar>
            <w:top w:w="0" w:type="dxa"/>
            <w:bottom w:w="0" w:type="dxa"/>
          </w:tblCellMar>
        </w:tblPrEx>
        <w:trPr>
          <w:cantSplit/>
          <w:trHeight w:val="560"/>
        </w:trPr>
        <w:tc>
          <w:tcPr>
            <w:tcW w:w="700" w:type="dxa"/>
            <w:tcMar>
              <w:top w:w="0" w:type="dxa"/>
              <w:bottom w:w="0" w:type="dxa"/>
            </w:tcMar>
            <w:vAlign w:val="center"/>
          </w:tcPr>
          <w:p w14:paraId="21C4FD36" w14:textId="77777777" w:rsidR="009269C0" w:rsidRDefault="009269C0">
            <w:pPr>
              <w:keepNext/>
              <w:keepLines/>
              <w:spacing w:after="0" w:line="240" w:lineRule="auto"/>
            </w:pPr>
          </w:p>
        </w:tc>
        <w:tc>
          <w:tcPr>
            <w:tcW w:w="3180" w:type="dxa"/>
            <w:tcMar>
              <w:top w:w="0" w:type="dxa"/>
              <w:bottom w:w="0" w:type="dxa"/>
            </w:tcMar>
            <w:vAlign w:val="center"/>
          </w:tcPr>
          <w:p w14:paraId="1D32C51B" w14:textId="77777777" w:rsidR="009269C0"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3FC05109" w14:textId="77777777" w:rsidR="009269C0" w:rsidRDefault="00000000">
            <w:pPr>
              <w:keepNext/>
              <w:keepLines/>
              <w:spacing w:after="0" w:line="240" w:lineRule="auto"/>
            </w:pPr>
            <w:r>
              <w:rPr>
                <w:b/>
                <w:sz w:val="18"/>
              </w:rPr>
              <w:t>Y003</w:t>
            </w:r>
          </w:p>
        </w:tc>
        <w:tc>
          <w:tcPr>
            <w:tcW w:w="1860" w:type="dxa"/>
            <w:tcMar>
              <w:top w:w="0" w:type="dxa"/>
              <w:bottom w:w="0" w:type="dxa"/>
            </w:tcMar>
            <w:vAlign w:val="center"/>
          </w:tcPr>
          <w:p w14:paraId="4FF190E6" w14:textId="77777777" w:rsidR="009269C0" w:rsidRDefault="00000000">
            <w:pPr>
              <w:keepNext/>
              <w:keepLines/>
              <w:spacing w:after="0" w:line="240" w:lineRule="auto"/>
              <w:jc w:val="right"/>
            </w:pPr>
            <w:r>
              <w:rPr>
                <w:b/>
                <w:sz w:val="18"/>
              </w:rPr>
              <w:t>40.942,71</w:t>
            </w:r>
          </w:p>
        </w:tc>
        <w:tc>
          <w:tcPr>
            <w:tcW w:w="1860" w:type="dxa"/>
            <w:tcMar>
              <w:top w:w="0" w:type="dxa"/>
              <w:bottom w:w="0" w:type="dxa"/>
            </w:tcMar>
            <w:vAlign w:val="center"/>
          </w:tcPr>
          <w:p w14:paraId="01509E1A" w14:textId="77777777" w:rsidR="009269C0" w:rsidRDefault="00000000">
            <w:pPr>
              <w:keepNext/>
              <w:keepLines/>
              <w:spacing w:after="0" w:line="240" w:lineRule="auto"/>
              <w:jc w:val="right"/>
            </w:pPr>
            <w:r>
              <w:rPr>
                <w:b/>
                <w:sz w:val="18"/>
              </w:rPr>
              <w:t>37.228,95</w:t>
            </w:r>
          </w:p>
        </w:tc>
        <w:tc>
          <w:tcPr>
            <w:tcW w:w="700" w:type="dxa"/>
            <w:tcMar>
              <w:top w:w="0" w:type="dxa"/>
              <w:bottom w:w="0" w:type="dxa"/>
            </w:tcMar>
            <w:vAlign w:val="center"/>
          </w:tcPr>
          <w:p w14:paraId="0CCDF70F" w14:textId="77777777" w:rsidR="009269C0" w:rsidRDefault="00000000">
            <w:pPr>
              <w:keepNext/>
              <w:keepLines/>
              <w:spacing w:after="0" w:line="240" w:lineRule="auto"/>
              <w:jc w:val="right"/>
            </w:pPr>
            <w:r>
              <w:rPr>
                <w:b/>
                <w:sz w:val="18"/>
              </w:rPr>
              <w:t>90,9</w:t>
            </w:r>
          </w:p>
        </w:tc>
      </w:tr>
      <w:tr w:rsidR="009269C0" w14:paraId="295F17D5" w14:textId="77777777">
        <w:tblPrEx>
          <w:tblCellMar>
            <w:top w:w="0" w:type="dxa"/>
            <w:bottom w:w="0" w:type="dxa"/>
          </w:tblCellMar>
        </w:tblPrEx>
        <w:trPr>
          <w:cantSplit/>
          <w:trHeight w:val="560"/>
        </w:trPr>
        <w:tc>
          <w:tcPr>
            <w:tcW w:w="700" w:type="dxa"/>
            <w:tcMar>
              <w:top w:w="0" w:type="dxa"/>
              <w:bottom w:w="0" w:type="dxa"/>
            </w:tcMar>
            <w:vAlign w:val="center"/>
          </w:tcPr>
          <w:p w14:paraId="0BF88D28" w14:textId="77777777" w:rsidR="009269C0" w:rsidRDefault="009269C0">
            <w:pPr>
              <w:keepNext/>
              <w:keepLines/>
              <w:spacing w:after="0" w:line="240" w:lineRule="auto"/>
            </w:pPr>
          </w:p>
        </w:tc>
        <w:tc>
          <w:tcPr>
            <w:tcW w:w="3180" w:type="dxa"/>
            <w:tcMar>
              <w:top w:w="0" w:type="dxa"/>
              <w:bottom w:w="0" w:type="dxa"/>
            </w:tcMar>
            <w:vAlign w:val="center"/>
          </w:tcPr>
          <w:p w14:paraId="594BED07" w14:textId="77777777" w:rsidR="009269C0"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0D119E8" w14:textId="77777777" w:rsidR="009269C0" w:rsidRDefault="00000000">
            <w:pPr>
              <w:keepNext/>
              <w:keepLines/>
              <w:spacing w:after="0" w:line="240" w:lineRule="auto"/>
            </w:pPr>
            <w:r>
              <w:rPr>
                <w:b/>
                <w:sz w:val="18"/>
              </w:rPr>
              <w:t>Y005</w:t>
            </w:r>
          </w:p>
        </w:tc>
        <w:tc>
          <w:tcPr>
            <w:tcW w:w="1860" w:type="dxa"/>
            <w:tcMar>
              <w:top w:w="0" w:type="dxa"/>
              <w:bottom w:w="0" w:type="dxa"/>
            </w:tcMar>
            <w:vAlign w:val="center"/>
          </w:tcPr>
          <w:p w14:paraId="00DBB67F" w14:textId="77777777" w:rsidR="009269C0" w:rsidRDefault="00000000">
            <w:pPr>
              <w:keepNext/>
              <w:keepLines/>
              <w:spacing w:after="0" w:line="240" w:lineRule="auto"/>
              <w:jc w:val="right"/>
            </w:pPr>
            <w:r>
              <w:rPr>
                <w:b/>
                <w:sz w:val="18"/>
              </w:rPr>
              <w:t>0,00</w:t>
            </w:r>
          </w:p>
        </w:tc>
        <w:tc>
          <w:tcPr>
            <w:tcW w:w="1860" w:type="dxa"/>
            <w:tcMar>
              <w:top w:w="0" w:type="dxa"/>
              <w:bottom w:w="0" w:type="dxa"/>
            </w:tcMar>
            <w:vAlign w:val="center"/>
          </w:tcPr>
          <w:p w14:paraId="07F4D81E" w14:textId="77777777" w:rsidR="009269C0" w:rsidRDefault="00000000">
            <w:pPr>
              <w:keepNext/>
              <w:keepLines/>
              <w:spacing w:after="0" w:line="240" w:lineRule="auto"/>
              <w:jc w:val="right"/>
            </w:pPr>
            <w:r>
              <w:rPr>
                <w:b/>
                <w:sz w:val="18"/>
              </w:rPr>
              <w:t>118.039,70</w:t>
            </w:r>
          </w:p>
        </w:tc>
        <w:tc>
          <w:tcPr>
            <w:tcW w:w="700" w:type="dxa"/>
            <w:tcMar>
              <w:top w:w="0" w:type="dxa"/>
              <w:bottom w:w="0" w:type="dxa"/>
            </w:tcMar>
            <w:vAlign w:val="center"/>
          </w:tcPr>
          <w:p w14:paraId="5713B04B" w14:textId="77777777" w:rsidR="009269C0" w:rsidRDefault="00000000">
            <w:pPr>
              <w:keepNext/>
              <w:keepLines/>
              <w:spacing w:after="0" w:line="240" w:lineRule="auto"/>
              <w:jc w:val="right"/>
            </w:pPr>
            <w:r>
              <w:rPr>
                <w:b/>
                <w:sz w:val="18"/>
              </w:rPr>
              <w:t>-</w:t>
            </w:r>
          </w:p>
        </w:tc>
      </w:tr>
    </w:tbl>
    <w:p w14:paraId="40221BCC" w14:textId="77777777" w:rsidR="009269C0" w:rsidRDefault="009269C0">
      <w:pPr>
        <w:spacing w:after="0"/>
      </w:pPr>
    </w:p>
    <w:p w14:paraId="77913DA5" w14:textId="77777777" w:rsidR="009269C0" w:rsidRDefault="00000000">
      <w:pPr>
        <w:spacing w:line="240" w:lineRule="auto"/>
        <w:jc w:val="both"/>
      </w:pPr>
      <w:r>
        <w:t xml:space="preserve">Manjak prihoda i primitaka u visini od 118.039,70 eura  sastoji se od manjka od financijske imovine i zaduživanja u visini od 37.228,95 eura  što se odnosi na izdatke za podmirenje obveza za kredit za izgradnju dječjeg vrtića u </w:t>
      </w:r>
      <w:proofErr w:type="spellStart"/>
      <w:r>
        <w:t>Tinjanu</w:t>
      </w:r>
      <w:proofErr w:type="spellEnd"/>
      <w:r>
        <w:t xml:space="preserve">, dok primici od financijske imovine i zaduživanja u ovom razdoblju nisu ostvareni. Obveza kredita traje sve do 2028. godine. Zatim, od manjak prihoda od nefinancijske imovine koji iznosi 478.442,72 eura jer nam prihodi od nefinancijske imovine nisu dostatni za nabavu nefinancijske imovine.  I od višaka </w:t>
      </w:r>
      <w:r>
        <w:lastRenderedPageBreak/>
        <w:t>koji je ostvaren samo od prihoda poslovanja u visini od 397.631,97 eura. Manjak koji je nastao u ovom izvještajnom razdoblju pokriva se prenesenim viškom iz prethodnih godina.</w:t>
      </w:r>
    </w:p>
    <w:p w14:paraId="19F6C94C" w14:textId="77777777" w:rsidR="009269C0" w:rsidRDefault="00000000">
      <w:r>
        <w:br/>
      </w:r>
    </w:p>
    <w:p w14:paraId="2B9520E2" w14:textId="77777777" w:rsidR="009269C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45C740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1B4164"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A85127"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3E0502"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52EE45"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8BD761"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D2B06D" w14:textId="77777777" w:rsidR="009269C0" w:rsidRDefault="00000000">
            <w:pPr>
              <w:keepNext/>
              <w:keepLines/>
              <w:spacing w:after="0" w:line="240" w:lineRule="auto"/>
              <w:jc w:val="center"/>
            </w:pPr>
            <w:r>
              <w:rPr>
                <w:b/>
                <w:sz w:val="18"/>
              </w:rPr>
              <w:t>Indeks (%)</w:t>
            </w:r>
          </w:p>
        </w:tc>
      </w:tr>
      <w:tr w:rsidR="009269C0" w14:paraId="7FC09438" w14:textId="77777777">
        <w:tblPrEx>
          <w:tblCellMar>
            <w:top w:w="0" w:type="dxa"/>
            <w:bottom w:w="0" w:type="dxa"/>
          </w:tblCellMar>
        </w:tblPrEx>
        <w:trPr>
          <w:cantSplit/>
          <w:trHeight w:val="560"/>
        </w:trPr>
        <w:tc>
          <w:tcPr>
            <w:tcW w:w="700" w:type="dxa"/>
            <w:tcMar>
              <w:top w:w="0" w:type="dxa"/>
              <w:bottom w:w="0" w:type="dxa"/>
            </w:tcMar>
            <w:vAlign w:val="center"/>
          </w:tcPr>
          <w:p w14:paraId="07F3250D" w14:textId="77777777" w:rsidR="009269C0" w:rsidRDefault="00000000">
            <w:pPr>
              <w:keepNext/>
              <w:keepLines/>
              <w:spacing w:after="0" w:line="240" w:lineRule="auto"/>
            </w:pPr>
            <w:r>
              <w:rPr>
                <w:sz w:val="18"/>
              </w:rPr>
              <w:t>611</w:t>
            </w:r>
          </w:p>
        </w:tc>
        <w:tc>
          <w:tcPr>
            <w:tcW w:w="3180" w:type="dxa"/>
            <w:tcMar>
              <w:top w:w="0" w:type="dxa"/>
              <w:bottom w:w="0" w:type="dxa"/>
            </w:tcMar>
            <w:vAlign w:val="center"/>
          </w:tcPr>
          <w:p w14:paraId="15E12404" w14:textId="77777777" w:rsidR="009269C0"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92F5B15" w14:textId="77777777" w:rsidR="009269C0" w:rsidRDefault="00000000">
            <w:pPr>
              <w:keepNext/>
              <w:keepLines/>
              <w:spacing w:after="0" w:line="240" w:lineRule="auto"/>
            </w:pPr>
            <w:r>
              <w:rPr>
                <w:sz w:val="18"/>
              </w:rPr>
              <w:t>611</w:t>
            </w:r>
          </w:p>
        </w:tc>
        <w:tc>
          <w:tcPr>
            <w:tcW w:w="1860" w:type="dxa"/>
            <w:tcMar>
              <w:top w:w="0" w:type="dxa"/>
              <w:bottom w:w="0" w:type="dxa"/>
            </w:tcMar>
            <w:vAlign w:val="center"/>
          </w:tcPr>
          <w:p w14:paraId="28C62639" w14:textId="77777777" w:rsidR="009269C0" w:rsidRDefault="00000000">
            <w:pPr>
              <w:keepNext/>
              <w:keepLines/>
              <w:spacing w:after="0" w:line="240" w:lineRule="auto"/>
              <w:jc w:val="right"/>
            </w:pPr>
            <w:r>
              <w:rPr>
                <w:sz w:val="18"/>
              </w:rPr>
              <w:t>682.957,23</w:t>
            </w:r>
          </w:p>
        </w:tc>
        <w:tc>
          <w:tcPr>
            <w:tcW w:w="1860" w:type="dxa"/>
            <w:tcMar>
              <w:top w:w="0" w:type="dxa"/>
              <w:bottom w:w="0" w:type="dxa"/>
            </w:tcMar>
            <w:vAlign w:val="center"/>
          </w:tcPr>
          <w:p w14:paraId="54B51A45" w14:textId="77777777" w:rsidR="009269C0" w:rsidRDefault="00000000">
            <w:pPr>
              <w:keepNext/>
              <w:keepLines/>
              <w:spacing w:after="0" w:line="240" w:lineRule="auto"/>
              <w:jc w:val="right"/>
            </w:pPr>
            <w:r>
              <w:rPr>
                <w:sz w:val="18"/>
              </w:rPr>
              <w:t>874.180,79</w:t>
            </w:r>
          </w:p>
        </w:tc>
        <w:tc>
          <w:tcPr>
            <w:tcW w:w="700" w:type="dxa"/>
            <w:tcMar>
              <w:top w:w="0" w:type="dxa"/>
              <w:bottom w:w="0" w:type="dxa"/>
            </w:tcMar>
            <w:vAlign w:val="center"/>
          </w:tcPr>
          <w:p w14:paraId="42BDA06F" w14:textId="77777777" w:rsidR="009269C0" w:rsidRDefault="00000000">
            <w:pPr>
              <w:keepNext/>
              <w:keepLines/>
              <w:spacing w:after="0" w:line="240" w:lineRule="auto"/>
              <w:jc w:val="right"/>
            </w:pPr>
            <w:r>
              <w:rPr>
                <w:sz w:val="18"/>
              </w:rPr>
              <w:t>128,0</w:t>
            </w:r>
          </w:p>
        </w:tc>
      </w:tr>
    </w:tbl>
    <w:p w14:paraId="1A0316A4" w14:textId="77777777" w:rsidR="009269C0" w:rsidRDefault="009269C0">
      <w:pPr>
        <w:spacing w:after="0"/>
      </w:pPr>
    </w:p>
    <w:p w14:paraId="03885372" w14:textId="77777777" w:rsidR="009269C0" w:rsidRDefault="00000000">
      <w:pPr>
        <w:spacing w:line="240" w:lineRule="auto"/>
        <w:jc w:val="both"/>
      </w:pPr>
      <w:r>
        <w:t>Prihodi od poreza na dohodak ostvareni su u iznosu od 874.180,79 eura, odnosno za 28% više nego u istom razdoblju prethodne godine. Razlog tome je više prihoda od poreza na dohodak.</w:t>
      </w:r>
    </w:p>
    <w:p w14:paraId="1FF5E2EE" w14:textId="77777777" w:rsidR="009269C0" w:rsidRDefault="009269C0"/>
    <w:p w14:paraId="370F85E0" w14:textId="77777777" w:rsidR="009269C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03E221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8FABCD"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BED7F9"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705900"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134446"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2EDADD"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8F3B49" w14:textId="77777777" w:rsidR="009269C0" w:rsidRDefault="00000000">
            <w:pPr>
              <w:keepNext/>
              <w:keepLines/>
              <w:spacing w:after="0" w:line="240" w:lineRule="auto"/>
              <w:jc w:val="center"/>
            </w:pPr>
            <w:r>
              <w:rPr>
                <w:b/>
                <w:sz w:val="18"/>
              </w:rPr>
              <w:t>Indeks (%)</w:t>
            </w:r>
          </w:p>
        </w:tc>
      </w:tr>
      <w:tr w:rsidR="009269C0" w14:paraId="3DD8D241" w14:textId="77777777">
        <w:tblPrEx>
          <w:tblCellMar>
            <w:top w:w="0" w:type="dxa"/>
            <w:bottom w:w="0" w:type="dxa"/>
          </w:tblCellMar>
        </w:tblPrEx>
        <w:trPr>
          <w:cantSplit/>
          <w:trHeight w:val="560"/>
        </w:trPr>
        <w:tc>
          <w:tcPr>
            <w:tcW w:w="700" w:type="dxa"/>
            <w:tcMar>
              <w:top w:w="0" w:type="dxa"/>
              <w:bottom w:w="0" w:type="dxa"/>
            </w:tcMar>
            <w:vAlign w:val="center"/>
          </w:tcPr>
          <w:p w14:paraId="1532F8F7" w14:textId="77777777" w:rsidR="009269C0" w:rsidRDefault="00000000">
            <w:pPr>
              <w:keepNext/>
              <w:keepLines/>
              <w:spacing w:after="0" w:line="240" w:lineRule="auto"/>
            </w:pPr>
            <w:r>
              <w:rPr>
                <w:sz w:val="18"/>
              </w:rPr>
              <w:t>613</w:t>
            </w:r>
          </w:p>
        </w:tc>
        <w:tc>
          <w:tcPr>
            <w:tcW w:w="3180" w:type="dxa"/>
            <w:tcMar>
              <w:top w:w="0" w:type="dxa"/>
              <w:bottom w:w="0" w:type="dxa"/>
            </w:tcMar>
            <w:vAlign w:val="center"/>
          </w:tcPr>
          <w:p w14:paraId="5F85CCA8" w14:textId="77777777" w:rsidR="009269C0"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2B093A53" w14:textId="77777777" w:rsidR="009269C0" w:rsidRDefault="00000000">
            <w:pPr>
              <w:keepNext/>
              <w:keepLines/>
              <w:spacing w:after="0" w:line="240" w:lineRule="auto"/>
            </w:pPr>
            <w:r>
              <w:rPr>
                <w:sz w:val="18"/>
              </w:rPr>
              <w:t>613</w:t>
            </w:r>
          </w:p>
        </w:tc>
        <w:tc>
          <w:tcPr>
            <w:tcW w:w="1860" w:type="dxa"/>
            <w:tcMar>
              <w:top w:w="0" w:type="dxa"/>
              <w:bottom w:w="0" w:type="dxa"/>
            </w:tcMar>
            <w:vAlign w:val="center"/>
          </w:tcPr>
          <w:p w14:paraId="1C0F4E35" w14:textId="77777777" w:rsidR="009269C0" w:rsidRDefault="00000000">
            <w:pPr>
              <w:keepNext/>
              <w:keepLines/>
              <w:spacing w:after="0" w:line="240" w:lineRule="auto"/>
              <w:jc w:val="right"/>
            </w:pPr>
            <w:r>
              <w:rPr>
                <w:sz w:val="18"/>
              </w:rPr>
              <w:t>348.324,79</w:t>
            </w:r>
          </w:p>
        </w:tc>
        <w:tc>
          <w:tcPr>
            <w:tcW w:w="1860" w:type="dxa"/>
            <w:tcMar>
              <w:top w:w="0" w:type="dxa"/>
              <w:bottom w:w="0" w:type="dxa"/>
            </w:tcMar>
            <w:vAlign w:val="center"/>
          </w:tcPr>
          <w:p w14:paraId="123808BF" w14:textId="77777777" w:rsidR="009269C0" w:rsidRDefault="00000000">
            <w:pPr>
              <w:keepNext/>
              <w:keepLines/>
              <w:spacing w:after="0" w:line="240" w:lineRule="auto"/>
              <w:jc w:val="right"/>
            </w:pPr>
            <w:r>
              <w:rPr>
                <w:sz w:val="18"/>
              </w:rPr>
              <w:t>190.561,04</w:t>
            </w:r>
          </w:p>
        </w:tc>
        <w:tc>
          <w:tcPr>
            <w:tcW w:w="700" w:type="dxa"/>
            <w:tcMar>
              <w:top w:w="0" w:type="dxa"/>
              <w:bottom w:w="0" w:type="dxa"/>
            </w:tcMar>
            <w:vAlign w:val="center"/>
          </w:tcPr>
          <w:p w14:paraId="0AB4316D" w14:textId="77777777" w:rsidR="009269C0" w:rsidRDefault="00000000">
            <w:pPr>
              <w:keepNext/>
              <w:keepLines/>
              <w:spacing w:after="0" w:line="240" w:lineRule="auto"/>
              <w:jc w:val="right"/>
            </w:pPr>
            <w:r>
              <w:rPr>
                <w:sz w:val="18"/>
              </w:rPr>
              <w:t>54,7</w:t>
            </w:r>
          </w:p>
        </w:tc>
      </w:tr>
    </w:tbl>
    <w:p w14:paraId="4206CF2C" w14:textId="77777777" w:rsidR="009269C0" w:rsidRDefault="009269C0">
      <w:pPr>
        <w:spacing w:after="0"/>
      </w:pPr>
    </w:p>
    <w:p w14:paraId="1A46905F" w14:textId="77777777" w:rsidR="009269C0" w:rsidRDefault="00000000">
      <w:pPr>
        <w:spacing w:line="240" w:lineRule="auto"/>
        <w:jc w:val="both"/>
      </w:pPr>
      <w:r>
        <w:t>Prihodi od poreza na imovinu ostvareni su u iznosu od 190.561,04 eura, odnosno za 45,3% manje nego u istom razdoblju prethodne godine. Razlog smanjenja su manja naplata od poreza na promet nekretnina.</w:t>
      </w:r>
    </w:p>
    <w:p w14:paraId="201D47A2" w14:textId="77777777" w:rsidR="009269C0" w:rsidRDefault="009269C0"/>
    <w:p w14:paraId="1E51D165" w14:textId="77777777" w:rsidR="009269C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65660A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DAC45E"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AC1839"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A26E2"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22A6B0"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6167B4"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D46650" w14:textId="77777777" w:rsidR="009269C0" w:rsidRDefault="00000000">
            <w:pPr>
              <w:keepNext/>
              <w:keepLines/>
              <w:spacing w:after="0" w:line="240" w:lineRule="auto"/>
              <w:jc w:val="center"/>
            </w:pPr>
            <w:r>
              <w:rPr>
                <w:b/>
                <w:sz w:val="18"/>
              </w:rPr>
              <w:t>Indeks (%)</w:t>
            </w:r>
          </w:p>
        </w:tc>
      </w:tr>
      <w:tr w:rsidR="009269C0" w14:paraId="78E5E73C" w14:textId="77777777">
        <w:tblPrEx>
          <w:tblCellMar>
            <w:top w:w="0" w:type="dxa"/>
            <w:bottom w:w="0" w:type="dxa"/>
          </w:tblCellMar>
        </w:tblPrEx>
        <w:trPr>
          <w:cantSplit/>
          <w:trHeight w:val="560"/>
        </w:trPr>
        <w:tc>
          <w:tcPr>
            <w:tcW w:w="700" w:type="dxa"/>
            <w:tcMar>
              <w:top w:w="0" w:type="dxa"/>
              <w:bottom w:w="0" w:type="dxa"/>
            </w:tcMar>
            <w:vAlign w:val="center"/>
          </w:tcPr>
          <w:p w14:paraId="169D0386" w14:textId="77777777" w:rsidR="009269C0" w:rsidRDefault="00000000">
            <w:pPr>
              <w:keepNext/>
              <w:keepLines/>
              <w:spacing w:after="0" w:line="240" w:lineRule="auto"/>
            </w:pPr>
            <w:r>
              <w:rPr>
                <w:sz w:val="18"/>
              </w:rPr>
              <w:t>614</w:t>
            </w:r>
          </w:p>
        </w:tc>
        <w:tc>
          <w:tcPr>
            <w:tcW w:w="3180" w:type="dxa"/>
            <w:tcMar>
              <w:top w:w="0" w:type="dxa"/>
              <w:bottom w:w="0" w:type="dxa"/>
            </w:tcMar>
            <w:vAlign w:val="center"/>
          </w:tcPr>
          <w:p w14:paraId="209CDAE3" w14:textId="77777777" w:rsidR="009269C0"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3C85FA93" w14:textId="77777777" w:rsidR="009269C0" w:rsidRDefault="00000000">
            <w:pPr>
              <w:keepNext/>
              <w:keepLines/>
              <w:spacing w:after="0" w:line="240" w:lineRule="auto"/>
            </w:pPr>
            <w:r>
              <w:rPr>
                <w:sz w:val="18"/>
              </w:rPr>
              <w:t>614</w:t>
            </w:r>
          </w:p>
        </w:tc>
        <w:tc>
          <w:tcPr>
            <w:tcW w:w="1860" w:type="dxa"/>
            <w:tcMar>
              <w:top w:w="0" w:type="dxa"/>
              <w:bottom w:w="0" w:type="dxa"/>
            </w:tcMar>
            <w:vAlign w:val="center"/>
          </w:tcPr>
          <w:p w14:paraId="7AEAB782" w14:textId="77777777" w:rsidR="009269C0" w:rsidRDefault="00000000">
            <w:pPr>
              <w:keepNext/>
              <w:keepLines/>
              <w:spacing w:after="0" w:line="240" w:lineRule="auto"/>
              <w:jc w:val="right"/>
            </w:pPr>
            <w:r>
              <w:rPr>
                <w:sz w:val="18"/>
              </w:rPr>
              <w:t>7.750,16</w:t>
            </w:r>
          </w:p>
        </w:tc>
        <w:tc>
          <w:tcPr>
            <w:tcW w:w="1860" w:type="dxa"/>
            <w:tcMar>
              <w:top w:w="0" w:type="dxa"/>
              <w:bottom w:w="0" w:type="dxa"/>
            </w:tcMar>
            <w:vAlign w:val="center"/>
          </w:tcPr>
          <w:p w14:paraId="198EFBD4" w14:textId="77777777" w:rsidR="009269C0" w:rsidRDefault="00000000">
            <w:pPr>
              <w:keepNext/>
              <w:keepLines/>
              <w:spacing w:after="0" w:line="240" w:lineRule="auto"/>
              <w:jc w:val="right"/>
            </w:pPr>
            <w:r>
              <w:rPr>
                <w:sz w:val="18"/>
              </w:rPr>
              <w:t>9.085,62</w:t>
            </w:r>
          </w:p>
        </w:tc>
        <w:tc>
          <w:tcPr>
            <w:tcW w:w="700" w:type="dxa"/>
            <w:tcMar>
              <w:top w:w="0" w:type="dxa"/>
              <w:bottom w:w="0" w:type="dxa"/>
            </w:tcMar>
            <w:vAlign w:val="center"/>
          </w:tcPr>
          <w:p w14:paraId="1D5FA266" w14:textId="77777777" w:rsidR="009269C0" w:rsidRDefault="00000000">
            <w:pPr>
              <w:keepNext/>
              <w:keepLines/>
              <w:spacing w:after="0" w:line="240" w:lineRule="auto"/>
              <w:jc w:val="right"/>
            </w:pPr>
            <w:r>
              <w:rPr>
                <w:sz w:val="18"/>
              </w:rPr>
              <w:t>117,2</w:t>
            </w:r>
          </w:p>
        </w:tc>
      </w:tr>
    </w:tbl>
    <w:p w14:paraId="26E4F43E" w14:textId="77777777" w:rsidR="009269C0" w:rsidRDefault="009269C0">
      <w:pPr>
        <w:spacing w:after="0"/>
      </w:pPr>
    </w:p>
    <w:p w14:paraId="387AA359" w14:textId="77777777" w:rsidR="009269C0" w:rsidRDefault="00000000">
      <w:pPr>
        <w:spacing w:line="240" w:lineRule="auto"/>
        <w:jc w:val="both"/>
      </w:pPr>
      <w:r>
        <w:t>Porez na robu i usluge ostvareni su u iznosu od 9.085,62 eura, odnosno za 17,2% više nego u istom razdoblju prethodne godine. Razlog povećanju su veća naplata od poreza na potrošnju, a ujedno i veći broj korisnika obveznika plaćanja te vrste poreza.</w:t>
      </w:r>
    </w:p>
    <w:p w14:paraId="53D96958" w14:textId="77777777" w:rsidR="009269C0" w:rsidRDefault="009269C0"/>
    <w:p w14:paraId="56AB30E8" w14:textId="77777777" w:rsidR="009269C0"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063FBE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800941"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EFB557"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0CA352"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E2687E"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CF6C3D"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78180E" w14:textId="77777777" w:rsidR="009269C0" w:rsidRDefault="00000000">
            <w:pPr>
              <w:keepNext/>
              <w:keepLines/>
              <w:spacing w:after="0" w:line="240" w:lineRule="auto"/>
              <w:jc w:val="center"/>
            </w:pPr>
            <w:r>
              <w:rPr>
                <w:b/>
                <w:sz w:val="18"/>
              </w:rPr>
              <w:t>Indeks (%)</w:t>
            </w:r>
          </w:p>
        </w:tc>
      </w:tr>
      <w:tr w:rsidR="009269C0" w14:paraId="17A7144F" w14:textId="77777777">
        <w:tblPrEx>
          <w:tblCellMar>
            <w:top w:w="0" w:type="dxa"/>
            <w:bottom w:w="0" w:type="dxa"/>
          </w:tblCellMar>
        </w:tblPrEx>
        <w:trPr>
          <w:cantSplit/>
          <w:trHeight w:val="560"/>
        </w:trPr>
        <w:tc>
          <w:tcPr>
            <w:tcW w:w="700" w:type="dxa"/>
            <w:tcMar>
              <w:top w:w="0" w:type="dxa"/>
              <w:bottom w:w="0" w:type="dxa"/>
            </w:tcMar>
            <w:vAlign w:val="center"/>
          </w:tcPr>
          <w:p w14:paraId="5672B667" w14:textId="77777777" w:rsidR="009269C0" w:rsidRDefault="00000000">
            <w:pPr>
              <w:keepNext/>
              <w:keepLines/>
              <w:spacing w:after="0" w:line="240" w:lineRule="auto"/>
            </w:pPr>
            <w:r>
              <w:rPr>
                <w:sz w:val="18"/>
              </w:rPr>
              <w:t>63</w:t>
            </w:r>
          </w:p>
        </w:tc>
        <w:tc>
          <w:tcPr>
            <w:tcW w:w="3180" w:type="dxa"/>
            <w:tcMar>
              <w:top w:w="0" w:type="dxa"/>
              <w:bottom w:w="0" w:type="dxa"/>
            </w:tcMar>
            <w:vAlign w:val="center"/>
          </w:tcPr>
          <w:p w14:paraId="09CC71C0" w14:textId="77777777" w:rsidR="009269C0"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03348E8C" w14:textId="77777777" w:rsidR="009269C0" w:rsidRDefault="00000000">
            <w:pPr>
              <w:keepNext/>
              <w:keepLines/>
              <w:spacing w:after="0" w:line="240" w:lineRule="auto"/>
            </w:pPr>
            <w:r>
              <w:rPr>
                <w:sz w:val="18"/>
              </w:rPr>
              <w:t>63</w:t>
            </w:r>
          </w:p>
        </w:tc>
        <w:tc>
          <w:tcPr>
            <w:tcW w:w="1860" w:type="dxa"/>
            <w:tcMar>
              <w:top w:w="0" w:type="dxa"/>
              <w:bottom w:w="0" w:type="dxa"/>
            </w:tcMar>
            <w:vAlign w:val="center"/>
          </w:tcPr>
          <w:p w14:paraId="124D4264" w14:textId="77777777" w:rsidR="009269C0" w:rsidRDefault="00000000">
            <w:pPr>
              <w:keepNext/>
              <w:keepLines/>
              <w:spacing w:after="0" w:line="240" w:lineRule="auto"/>
              <w:jc w:val="right"/>
            </w:pPr>
            <w:r>
              <w:rPr>
                <w:sz w:val="18"/>
              </w:rPr>
              <w:t>74.896,00</w:t>
            </w:r>
          </w:p>
        </w:tc>
        <w:tc>
          <w:tcPr>
            <w:tcW w:w="1860" w:type="dxa"/>
            <w:tcMar>
              <w:top w:w="0" w:type="dxa"/>
              <w:bottom w:w="0" w:type="dxa"/>
            </w:tcMar>
            <w:vAlign w:val="center"/>
          </w:tcPr>
          <w:p w14:paraId="38F8AC48" w14:textId="77777777" w:rsidR="009269C0" w:rsidRDefault="00000000">
            <w:pPr>
              <w:keepNext/>
              <w:keepLines/>
              <w:spacing w:after="0" w:line="240" w:lineRule="auto"/>
              <w:jc w:val="right"/>
            </w:pPr>
            <w:r>
              <w:rPr>
                <w:sz w:val="18"/>
              </w:rPr>
              <w:t>241.550,67</w:t>
            </w:r>
          </w:p>
        </w:tc>
        <w:tc>
          <w:tcPr>
            <w:tcW w:w="700" w:type="dxa"/>
            <w:tcMar>
              <w:top w:w="0" w:type="dxa"/>
              <w:bottom w:w="0" w:type="dxa"/>
            </w:tcMar>
            <w:vAlign w:val="center"/>
          </w:tcPr>
          <w:p w14:paraId="36F6083E" w14:textId="77777777" w:rsidR="009269C0" w:rsidRDefault="00000000">
            <w:pPr>
              <w:keepNext/>
              <w:keepLines/>
              <w:spacing w:after="0" w:line="240" w:lineRule="auto"/>
              <w:jc w:val="right"/>
            </w:pPr>
            <w:r>
              <w:rPr>
                <w:sz w:val="18"/>
              </w:rPr>
              <w:t>322,5</w:t>
            </w:r>
          </w:p>
        </w:tc>
      </w:tr>
    </w:tbl>
    <w:p w14:paraId="7FC2CFBF" w14:textId="77777777" w:rsidR="009269C0" w:rsidRDefault="009269C0">
      <w:pPr>
        <w:spacing w:after="0"/>
      </w:pPr>
    </w:p>
    <w:p w14:paraId="6FA8C34D" w14:textId="77777777" w:rsidR="009269C0" w:rsidRDefault="00000000">
      <w:pPr>
        <w:spacing w:line="240" w:lineRule="auto"/>
        <w:jc w:val="both"/>
      </w:pPr>
      <w:r>
        <w:t>Pomoći iz inozemstava i od subjekata unutar općeg proračuna povećani su za 222,5°u odnosu na isto razdoblje prošle godine, a razlog povećanju su dobivene kapitalne pomoći proračunu iz drugog proračuna.</w:t>
      </w:r>
    </w:p>
    <w:p w14:paraId="385956FC" w14:textId="77777777" w:rsidR="009269C0" w:rsidRDefault="009269C0"/>
    <w:p w14:paraId="566ADEAF" w14:textId="77777777" w:rsidR="009269C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5D9972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EDB0F2"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AA17CC"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5FA576"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5B43C2"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43438B"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82EBB5" w14:textId="77777777" w:rsidR="009269C0" w:rsidRDefault="00000000">
            <w:pPr>
              <w:keepNext/>
              <w:keepLines/>
              <w:spacing w:after="0" w:line="240" w:lineRule="auto"/>
              <w:jc w:val="center"/>
            </w:pPr>
            <w:r>
              <w:rPr>
                <w:b/>
                <w:sz w:val="18"/>
              </w:rPr>
              <w:t>Indeks (%)</w:t>
            </w:r>
          </w:p>
        </w:tc>
      </w:tr>
      <w:tr w:rsidR="009269C0" w14:paraId="7EC23D0A" w14:textId="77777777">
        <w:tblPrEx>
          <w:tblCellMar>
            <w:top w:w="0" w:type="dxa"/>
            <w:bottom w:w="0" w:type="dxa"/>
          </w:tblCellMar>
        </w:tblPrEx>
        <w:trPr>
          <w:cantSplit/>
          <w:trHeight w:val="560"/>
        </w:trPr>
        <w:tc>
          <w:tcPr>
            <w:tcW w:w="700" w:type="dxa"/>
            <w:tcMar>
              <w:top w:w="0" w:type="dxa"/>
              <w:bottom w:w="0" w:type="dxa"/>
            </w:tcMar>
            <w:vAlign w:val="center"/>
          </w:tcPr>
          <w:p w14:paraId="62BCC4CA" w14:textId="77777777" w:rsidR="009269C0" w:rsidRDefault="00000000">
            <w:pPr>
              <w:keepNext/>
              <w:keepLines/>
              <w:spacing w:after="0" w:line="240" w:lineRule="auto"/>
            </w:pPr>
            <w:r>
              <w:rPr>
                <w:sz w:val="18"/>
              </w:rPr>
              <w:t>6332</w:t>
            </w:r>
          </w:p>
        </w:tc>
        <w:tc>
          <w:tcPr>
            <w:tcW w:w="3180" w:type="dxa"/>
            <w:tcMar>
              <w:top w:w="0" w:type="dxa"/>
              <w:bottom w:w="0" w:type="dxa"/>
            </w:tcMar>
            <w:vAlign w:val="center"/>
          </w:tcPr>
          <w:p w14:paraId="7ED660EE" w14:textId="77777777" w:rsidR="009269C0"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01518BB7" w14:textId="77777777" w:rsidR="009269C0" w:rsidRDefault="00000000">
            <w:pPr>
              <w:keepNext/>
              <w:keepLines/>
              <w:spacing w:after="0" w:line="240" w:lineRule="auto"/>
            </w:pPr>
            <w:r>
              <w:rPr>
                <w:sz w:val="18"/>
              </w:rPr>
              <w:t>6332</w:t>
            </w:r>
          </w:p>
        </w:tc>
        <w:tc>
          <w:tcPr>
            <w:tcW w:w="1860" w:type="dxa"/>
            <w:tcMar>
              <w:top w:w="0" w:type="dxa"/>
              <w:bottom w:w="0" w:type="dxa"/>
            </w:tcMar>
            <w:vAlign w:val="center"/>
          </w:tcPr>
          <w:p w14:paraId="3069ABB2" w14:textId="77777777" w:rsidR="009269C0" w:rsidRDefault="00000000">
            <w:pPr>
              <w:keepNext/>
              <w:keepLines/>
              <w:spacing w:after="0" w:line="240" w:lineRule="auto"/>
              <w:jc w:val="right"/>
            </w:pPr>
            <w:r>
              <w:rPr>
                <w:sz w:val="18"/>
              </w:rPr>
              <w:t>0,00</w:t>
            </w:r>
          </w:p>
        </w:tc>
        <w:tc>
          <w:tcPr>
            <w:tcW w:w="1860" w:type="dxa"/>
            <w:tcMar>
              <w:top w:w="0" w:type="dxa"/>
              <w:bottom w:w="0" w:type="dxa"/>
            </w:tcMar>
            <w:vAlign w:val="center"/>
          </w:tcPr>
          <w:p w14:paraId="60EC98B1" w14:textId="77777777" w:rsidR="009269C0" w:rsidRDefault="00000000">
            <w:pPr>
              <w:keepNext/>
              <w:keepLines/>
              <w:spacing w:after="0" w:line="240" w:lineRule="auto"/>
              <w:jc w:val="right"/>
            </w:pPr>
            <w:r>
              <w:rPr>
                <w:sz w:val="18"/>
              </w:rPr>
              <w:t>184.130,00</w:t>
            </w:r>
          </w:p>
        </w:tc>
        <w:tc>
          <w:tcPr>
            <w:tcW w:w="700" w:type="dxa"/>
            <w:tcMar>
              <w:top w:w="0" w:type="dxa"/>
              <w:bottom w:w="0" w:type="dxa"/>
            </w:tcMar>
            <w:vAlign w:val="center"/>
          </w:tcPr>
          <w:p w14:paraId="6FAA9926" w14:textId="77777777" w:rsidR="009269C0" w:rsidRDefault="00000000">
            <w:pPr>
              <w:keepNext/>
              <w:keepLines/>
              <w:spacing w:after="0" w:line="240" w:lineRule="auto"/>
              <w:jc w:val="right"/>
            </w:pPr>
            <w:r>
              <w:rPr>
                <w:sz w:val="18"/>
              </w:rPr>
              <w:t>-</w:t>
            </w:r>
          </w:p>
        </w:tc>
      </w:tr>
    </w:tbl>
    <w:p w14:paraId="7CAC9ABF" w14:textId="77777777" w:rsidR="009269C0" w:rsidRDefault="009269C0">
      <w:pPr>
        <w:spacing w:after="0"/>
      </w:pPr>
    </w:p>
    <w:p w14:paraId="04B983CE" w14:textId="77777777" w:rsidR="009269C0" w:rsidRDefault="00000000">
      <w:pPr>
        <w:spacing w:line="240" w:lineRule="auto"/>
        <w:jc w:val="both"/>
      </w:pPr>
      <w:r>
        <w:t>Kapitalne pomoći proračunu i izvanproračunskim korisnicima ostvarene su u iznosu od 184.130,00 eura, dok prošle godine u istom razdoblju nisu bile ostvarene. Iz državnog proračuna – Ministarstva sporta i turizma dobivena je pomoć za kapitalni projekt Rekreacijska zona Kučići, što je i planirano proračunom za 2025. godinu.</w:t>
      </w:r>
    </w:p>
    <w:p w14:paraId="5C023766" w14:textId="77777777" w:rsidR="009269C0" w:rsidRDefault="009269C0"/>
    <w:p w14:paraId="5C141B6B" w14:textId="77777777" w:rsidR="009269C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0F4B01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6CD022"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797049"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D56262"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2C167B"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672E1A"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603E83" w14:textId="77777777" w:rsidR="009269C0" w:rsidRDefault="00000000">
            <w:pPr>
              <w:keepNext/>
              <w:keepLines/>
              <w:spacing w:after="0" w:line="240" w:lineRule="auto"/>
              <w:jc w:val="center"/>
            </w:pPr>
            <w:r>
              <w:rPr>
                <w:b/>
                <w:sz w:val="18"/>
              </w:rPr>
              <w:t>Indeks (%)</w:t>
            </w:r>
          </w:p>
        </w:tc>
      </w:tr>
      <w:tr w:rsidR="009269C0" w14:paraId="41C6F11F" w14:textId="77777777">
        <w:tblPrEx>
          <w:tblCellMar>
            <w:top w:w="0" w:type="dxa"/>
            <w:bottom w:w="0" w:type="dxa"/>
          </w:tblCellMar>
        </w:tblPrEx>
        <w:trPr>
          <w:cantSplit/>
          <w:trHeight w:val="560"/>
        </w:trPr>
        <w:tc>
          <w:tcPr>
            <w:tcW w:w="700" w:type="dxa"/>
            <w:tcMar>
              <w:top w:w="0" w:type="dxa"/>
              <w:bottom w:w="0" w:type="dxa"/>
            </w:tcMar>
            <w:vAlign w:val="center"/>
          </w:tcPr>
          <w:p w14:paraId="4B8E2A1D" w14:textId="77777777" w:rsidR="009269C0" w:rsidRDefault="00000000">
            <w:pPr>
              <w:keepNext/>
              <w:keepLines/>
              <w:spacing w:after="0" w:line="240" w:lineRule="auto"/>
            </w:pPr>
            <w:r>
              <w:rPr>
                <w:sz w:val="18"/>
              </w:rPr>
              <w:t>642</w:t>
            </w:r>
          </w:p>
        </w:tc>
        <w:tc>
          <w:tcPr>
            <w:tcW w:w="3180" w:type="dxa"/>
            <w:tcMar>
              <w:top w:w="0" w:type="dxa"/>
              <w:bottom w:w="0" w:type="dxa"/>
            </w:tcMar>
            <w:vAlign w:val="center"/>
          </w:tcPr>
          <w:p w14:paraId="27F289CE" w14:textId="77777777" w:rsidR="009269C0"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1E9D7390" w14:textId="77777777" w:rsidR="009269C0" w:rsidRDefault="00000000">
            <w:pPr>
              <w:keepNext/>
              <w:keepLines/>
              <w:spacing w:after="0" w:line="240" w:lineRule="auto"/>
            </w:pPr>
            <w:r>
              <w:rPr>
                <w:sz w:val="18"/>
              </w:rPr>
              <w:t>642</w:t>
            </w:r>
          </w:p>
        </w:tc>
        <w:tc>
          <w:tcPr>
            <w:tcW w:w="1860" w:type="dxa"/>
            <w:tcMar>
              <w:top w:w="0" w:type="dxa"/>
              <w:bottom w:w="0" w:type="dxa"/>
            </w:tcMar>
            <w:vAlign w:val="center"/>
          </w:tcPr>
          <w:p w14:paraId="196718FB" w14:textId="77777777" w:rsidR="009269C0" w:rsidRDefault="00000000">
            <w:pPr>
              <w:keepNext/>
              <w:keepLines/>
              <w:spacing w:after="0" w:line="240" w:lineRule="auto"/>
              <w:jc w:val="right"/>
            </w:pPr>
            <w:r>
              <w:rPr>
                <w:sz w:val="18"/>
              </w:rPr>
              <w:t>25.689,74</w:t>
            </w:r>
          </w:p>
        </w:tc>
        <w:tc>
          <w:tcPr>
            <w:tcW w:w="1860" w:type="dxa"/>
            <w:tcMar>
              <w:top w:w="0" w:type="dxa"/>
              <w:bottom w:w="0" w:type="dxa"/>
            </w:tcMar>
            <w:vAlign w:val="center"/>
          </w:tcPr>
          <w:p w14:paraId="23361B78" w14:textId="77777777" w:rsidR="009269C0" w:rsidRDefault="00000000">
            <w:pPr>
              <w:keepNext/>
              <w:keepLines/>
              <w:spacing w:after="0" w:line="240" w:lineRule="auto"/>
              <w:jc w:val="right"/>
            </w:pPr>
            <w:r>
              <w:rPr>
                <w:sz w:val="18"/>
              </w:rPr>
              <w:t>24.123,20</w:t>
            </w:r>
          </w:p>
        </w:tc>
        <w:tc>
          <w:tcPr>
            <w:tcW w:w="700" w:type="dxa"/>
            <w:tcMar>
              <w:top w:w="0" w:type="dxa"/>
              <w:bottom w:w="0" w:type="dxa"/>
            </w:tcMar>
            <w:vAlign w:val="center"/>
          </w:tcPr>
          <w:p w14:paraId="6DC88C9A" w14:textId="77777777" w:rsidR="009269C0" w:rsidRDefault="00000000">
            <w:pPr>
              <w:keepNext/>
              <w:keepLines/>
              <w:spacing w:after="0" w:line="240" w:lineRule="auto"/>
              <w:jc w:val="right"/>
            </w:pPr>
            <w:r>
              <w:rPr>
                <w:sz w:val="18"/>
              </w:rPr>
              <w:t>93,9</w:t>
            </w:r>
          </w:p>
        </w:tc>
      </w:tr>
    </w:tbl>
    <w:p w14:paraId="081D11CD" w14:textId="77777777" w:rsidR="009269C0" w:rsidRDefault="009269C0">
      <w:pPr>
        <w:spacing w:after="0"/>
      </w:pPr>
    </w:p>
    <w:p w14:paraId="5E408949" w14:textId="77777777" w:rsidR="009269C0" w:rsidRDefault="00000000">
      <w:pPr>
        <w:spacing w:line="240" w:lineRule="auto"/>
        <w:jc w:val="both"/>
      </w:pPr>
      <w:r>
        <w:t>Prihodi od nefinancijske imovine ostvareni su u iznosu od 24.123,20 eura, što je za 6,1% manje u odnosu na isto razdoblje prošle godine, a razlog su smanjena naplata prihoda od iznajmljivanja poslovnih prostora u vlasništvu Općine, ali imamo povećanje u prihodima za naknadu za pravo puta elektroničke telekomunikacije.</w:t>
      </w:r>
    </w:p>
    <w:p w14:paraId="6CDFAEFA" w14:textId="77777777" w:rsidR="009269C0" w:rsidRDefault="009269C0"/>
    <w:p w14:paraId="5C489784" w14:textId="77777777" w:rsidR="009269C0"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2BBB3B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E995F7"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2B1DF8"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96287"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B587B1"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23896A"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5B6193" w14:textId="77777777" w:rsidR="009269C0" w:rsidRDefault="00000000">
            <w:pPr>
              <w:keepNext/>
              <w:keepLines/>
              <w:spacing w:after="0" w:line="240" w:lineRule="auto"/>
              <w:jc w:val="center"/>
            </w:pPr>
            <w:r>
              <w:rPr>
                <w:b/>
                <w:sz w:val="18"/>
              </w:rPr>
              <w:t>Indeks (%)</w:t>
            </w:r>
          </w:p>
        </w:tc>
      </w:tr>
      <w:tr w:rsidR="009269C0" w14:paraId="02F81B6E" w14:textId="77777777">
        <w:tblPrEx>
          <w:tblCellMar>
            <w:top w:w="0" w:type="dxa"/>
            <w:bottom w:w="0" w:type="dxa"/>
          </w:tblCellMar>
        </w:tblPrEx>
        <w:trPr>
          <w:cantSplit/>
          <w:trHeight w:val="560"/>
        </w:trPr>
        <w:tc>
          <w:tcPr>
            <w:tcW w:w="700" w:type="dxa"/>
            <w:tcMar>
              <w:top w:w="0" w:type="dxa"/>
              <w:bottom w:w="0" w:type="dxa"/>
            </w:tcMar>
            <w:vAlign w:val="center"/>
          </w:tcPr>
          <w:p w14:paraId="48F36F43" w14:textId="77777777" w:rsidR="009269C0" w:rsidRDefault="00000000">
            <w:pPr>
              <w:keepNext/>
              <w:keepLines/>
              <w:spacing w:after="0" w:line="240" w:lineRule="auto"/>
            </w:pPr>
            <w:r>
              <w:rPr>
                <w:sz w:val="18"/>
              </w:rPr>
              <w:t>6531</w:t>
            </w:r>
          </w:p>
        </w:tc>
        <w:tc>
          <w:tcPr>
            <w:tcW w:w="3180" w:type="dxa"/>
            <w:tcMar>
              <w:top w:w="0" w:type="dxa"/>
              <w:bottom w:w="0" w:type="dxa"/>
            </w:tcMar>
            <w:vAlign w:val="center"/>
          </w:tcPr>
          <w:p w14:paraId="3E00341B" w14:textId="77777777" w:rsidR="009269C0" w:rsidRDefault="00000000">
            <w:pPr>
              <w:keepNext/>
              <w:keepLines/>
              <w:spacing w:after="0" w:line="240" w:lineRule="auto"/>
            </w:pPr>
            <w:r>
              <w:rPr>
                <w:sz w:val="18"/>
              </w:rPr>
              <w:t>Komunalni doprinosi</w:t>
            </w:r>
          </w:p>
        </w:tc>
        <w:tc>
          <w:tcPr>
            <w:tcW w:w="700" w:type="dxa"/>
            <w:tcMar>
              <w:top w:w="0" w:type="dxa"/>
              <w:bottom w:w="0" w:type="dxa"/>
            </w:tcMar>
            <w:vAlign w:val="center"/>
          </w:tcPr>
          <w:p w14:paraId="28DBD6B0" w14:textId="77777777" w:rsidR="009269C0" w:rsidRDefault="00000000">
            <w:pPr>
              <w:keepNext/>
              <w:keepLines/>
              <w:spacing w:after="0" w:line="240" w:lineRule="auto"/>
            </w:pPr>
            <w:r>
              <w:rPr>
                <w:sz w:val="18"/>
              </w:rPr>
              <w:t>6531</w:t>
            </w:r>
          </w:p>
        </w:tc>
        <w:tc>
          <w:tcPr>
            <w:tcW w:w="1860" w:type="dxa"/>
            <w:tcMar>
              <w:top w:w="0" w:type="dxa"/>
              <w:bottom w:w="0" w:type="dxa"/>
            </w:tcMar>
            <w:vAlign w:val="center"/>
          </w:tcPr>
          <w:p w14:paraId="14C7E07A" w14:textId="77777777" w:rsidR="009269C0" w:rsidRDefault="00000000">
            <w:pPr>
              <w:keepNext/>
              <w:keepLines/>
              <w:spacing w:after="0" w:line="240" w:lineRule="auto"/>
              <w:jc w:val="right"/>
            </w:pPr>
            <w:r>
              <w:rPr>
                <w:sz w:val="18"/>
              </w:rPr>
              <w:t>199.230,45</w:t>
            </w:r>
          </w:p>
        </w:tc>
        <w:tc>
          <w:tcPr>
            <w:tcW w:w="1860" w:type="dxa"/>
            <w:tcMar>
              <w:top w:w="0" w:type="dxa"/>
              <w:bottom w:w="0" w:type="dxa"/>
            </w:tcMar>
            <w:vAlign w:val="center"/>
          </w:tcPr>
          <w:p w14:paraId="52FB672F" w14:textId="77777777" w:rsidR="009269C0" w:rsidRDefault="00000000">
            <w:pPr>
              <w:keepNext/>
              <w:keepLines/>
              <w:spacing w:after="0" w:line="240" w:lineRule="auto"/>
              <w:jc w:val="right"/>
            </w:pPr>
            <w:r>
              <w:rPr>
                <w:sz w:val="18"/>
              </w:rPr>
              <w:t>158.780,86</w:t>
            </w:r>
          </w:p>
        </w:tc>
        <w:tc>
          <w:tcPr>
            <w:tcW w:w="700" w:type="dxa"/>
            <w:tcMar>
              <w:top w:w="0" w:type="dxa"/>
              <w:bottom w:w="0" w:type="dxa"/>
            </w:tcMar>
            <w:vAlign w:val="center"/>
          </w:tcPr>
          <w:p w14:paraId="11B25F20" w14:textId="77777777" w:rsidR="009269C0" w:rsidRDefault="00000000">
            <w:pPr>
              <w:keepNext/>
              <w:keepLines/>
              <w:spacing w:after="0" w:line="240" w:lineRule="auto"/>
              <w:jc w:val="right"/>
            </w:pPr>
            <w:r>
              <w:rPr>
                <w:sz w:val="18"/>
              </w:rPr>
              <w:t>79,7</w:t>
            </w:r>
          </w:p>
        </w:tc>
      </w:tr>
    </w:tbl>
    <w:p w14:paraId="03410569" w14:textId="77777777" w:rsidR="009269C0" w:rsidRDefault="009269C0">
      <w:pPr>
        <w:spacing w:after="0"/>
      </w:pPr>
    </w:p>
    <w:p w14:paraId="70793455" w14:textId="77777777" w:rsidR="009269C0" w:rsidRDefault="00000000">
      <w:pPr>
        <w:spacing w:line="240" w:lineRule="auto"/>
        <w:jc w:val="both"/>
      </w:pPr>
      <w:r>
        <w:lastRenderedPageBreak/>
        <w:t>Bilježimo pad prihoda od komunalnog doprinosa u odnosu na isto razdoblje prošle godine.  Razlog tome je što se tijekom trećeg kvartala 2025. godine izdalo manje Rješenja o komunalnom doprinosu.</w:t>
      </w:r>
    </w:p>
    <w:p w14:paraId="74D991A3" w14:textId="77777777" w:rsidR="009269C0" w:rsidRDefault="009269C0"/>
    <w:p w14:paraId="59B52102" w14:textId="77777777" w:rsidR="009269C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39EA8E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C0413D"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939023"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0D536C"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4645BB"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EDD532"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18DD32" w14:textId="77777777" w:rsidR="009269C0" w:rsidRDefault="00000000">
            <w:pPr>
              <w:keepNext/>
              <w:keepLines/>
              <w:spacing w:after="0" w:line="240" w:lineRule="auto"/>
              <w:jc w:val="center"/>
            </w:pPr>
            <w:r>
              <w:rPr>
                <w:b/>
                <w:sz w:val="18"/>
              </w:rPr>
              <w:t>Indeks (%)</w:t>
            </w:r>
          </w:p>
        </w:tc>
      </w:tr>
      <w:tr w:rsidR="009269C0" w14:paraId="270EB79F" w14:textId="77777777">
        <w:tblPrEx>
          <w:tblCellMar>
            <w:top w:w="0" w:type="dxa"/>
            <w:bottom w:w="0" w:type="dxa"/>
          </w:tblCellMar>
        </w:tblPrEx>
        <w:trPr>
          <w:cantSplit/>
          <w:trHeight w:val="560"/>
        </w:trPr>
        <w:tc>
          <w:tcPr>
            <w:tcW w:w="700" w:type="dxa"/>
            <w:tcMar>
              <w:top w:w="0" w:type="dxa"/>
              <w:bottom w:w="0" w:type="dxa"/>
            </w:tcMar>
            <w:vAlign w:val="center"/>
          </w:tcPr>
          <w:p w14:paraId="76721496" w14:textId="77777777" w:rsidR="009269C0" w:rsidRDefault="00000000">
            <w:pPr>
              <w:keepNext/>
              <w:keepLines/>
              <w:spacing w:after="0" w:line="240" w:lineRule="auto"/>
            </w:pPr>
            <w:r>
              <w:rPr>
                <w:sz w:val="18"/>
              </w:rPr>
              <w:t>6532</w:t>
            </w:r>
          </w:p>
        </w:tc>
        <w:tc>
          <w:tcPr>
            <w:tcW w:w="3180" w:type="dxa"/>
            <w:tcMar>
              <w:top w:w="0" w:type="dxa"/>
              <w:bottom w:w="0" w:type="dxa"/>
            </w:tcMar>
            <w:vAlign w:val="center"/>
          </w:tcPr>
          <w:p w14:paraId="118CC657" w14:textId="77777777" w:rsidR="009269C0" w:rsidRDefault="00000000">
            <w:pPr>
              <w:keepNext/>
              <w:keepLines/>
              <w:spacing w:after="0" w:line="240" w:lineRule="auto"/>
            </w:pPr>
            <w:r>
              <w:rPr>
                <w:sz w:val="18"/>
              </w:rPr>
              <w:t>Komunalne naknade</w:t>
            </w:r>
          </w:p>
        </w:tc>
        <w:tc>
          <w:tcPr>
            <w:tcW w:w="700" w:type="dxa"/>
            <w:tcMar>
              <w:top w:w="0" w:type="dxa"/>
              <w:bottom w:w="0" w:type="dxa"/>
            </w:tcMar>
            <w:vAlign w:val="center"/>
          </w:tcPr>
          <w:p w14:paraId="60A1B738" w14:textId="77777777" w:rsidR="009269C0" w:rsidRDefault="00000000">
            <w:pPr>
              <w:keepNext/>
              <w:keepLines/>
              <w:spacing w:after="0" w:line="240" w:lineRule="auto"/>
            </w:pPr>
            <w:r>
              <w:rPr>
                <w:sz w:val="18"/>
              </w:rPr>
              <w:t>6532</w:t>
            </w:r>
          </w:p>
        </w:tc>
        <w:tc>
          <w:tcPr>
            <w:tcW w:w="1860" w:type="dxa"/>
            <w:tcMar>
              <w:top w:w="0" w:type="dxa"/>
              <w:bottom w:w="0" w:type="dxa"/>
            </w:tcMar>
            <w:vAlign w:val="center"/>
          </w:tcPr>
          <w:p w14:paraId="36FEC15A" w14:textId="77777777" w:rsidR="009269C0" w:rsidRDefault="00000000">
            <w:pPr>
              <w:keepNext/>
              <w:keepLines/>
              <w:spacing w:after="0" w:line="240" w:lineRule="auto"/>
              <w:jc w:val="right"/>
            </w:pPr>
            <w:r>
              <w:rPr>
                <w:sz w:val="18"/>
              </w:rPr>
              <w:t>105.044,91</w:t>
            </w:r>
          </w:p>
        </w:tc>
        <w:tc>
          <w:tcPr>
            <w:tcW w:w="1860" w:type="dxa"/>
            <w:tcMar>
              <w:top w:w="0" w:type="dxa"/>
              <w:bottom w:w="0" w:type="dxa"/>
            </w:tcMar>
            <w:vAlign w:val="center"/>
          </w:tcPr>
          <w:p w14:paraId="664C63A6" w14:textId="77777777" w:rsidR="009269C0" w:rsidRDefault="00000000">
            <w:pPr>
              <w:keepNext/>
              <w:keepLines/>
              <w:spacing w:after="0" w:line="240" w:lineRule="auto"/>
              <w:jc w:val="right"/>
            </w:pPr>
            <w:r>
              <w:rPr>
                <w:sz w:val="18"/>
              </w:rPr>
              <w:t>116.807,77</w:t>
            </w:r>
          </w:p>
        </w:tc>
        <w:tc>
          <w:tcPr>
            <w:tcW w:w="700" w:type="dxa"/>
            <w:tcMar>
              <w:top w:w="0" w:type="dxa"/>
              <w:bottom w:w="0" w:type="dxa"/>
            </w:tcMar>
            <w:vAlign w:val="center"/>
          </w:tcPr>
          <w:p w14:paraId="1B97BBDC" w14:textId="77777777" w:rsidR="009269C0" w:rsidRDefault="00000000">
            <w:pPr>
              <w:keepNext/>
              <w:keepLines/>
              <w:spacing w:after="0" w:line="240" w:lineRule="auto"/>
              <w:jc w:val="right"/>
            </w:pPr>
            <w:r>
              <w:rPr>
                <w:sz w:val="18"/>
              </w:rPr>
              <w:t>111,2</w:t>
            </w:r>
          </w:p>
        </w:tc>
      </w:tr>
    </w:tbl>
    <w:p w14:paraId="7AA71A49" w14:textId="77777777" w:rsidR="009269C0" w:rsidRDefault="009269C0">
      <w:pPr>
        <w:spacing w:after="0"/>
      </w:pPr>
    </w:p>
    <w:p w14:paraId="77A86651" w14:textId="77777777" w:rsidR="009269C0" w:rsidRDefault="00000000">
      <w:pPr>
        <w:spacing w:line="240" w:lineRule="auto"/>
        <w:jc w:val="both"/>
      </w:pPr>
      <w:r>
        <w:t>Prihodi od komunalnog naknade ostvareni su u iznosu od 116.807,77 eura, odnosno za 11,2% više nego u istom razdoblju prethodne godine. Razlog tome je povećana naplata prihoda od komunalnog naknade, nakon slanja opomena kupcima.</w:t>
      </w:r>
    </w:p>
    <w:p w14:paraId="126A1EC0" w14:textId="77777777" w:rsidR="009269C0" w:rsidRDefault="009269C0"/>
    <w:p w14:paraId="0C2A5FD4" w14:textId="77777777" w:rsidR="009269C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1A90B4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AB04B5"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E0728A"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96E95A"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831E00"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22CD06"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205604" w14:textId="77777777" w:rsidR="009269C0" w:rsidRDefault="00000000">
            <w:pPr>
              <w:keepNext/>
              <w:keepLines/>
              <w:spacing w:after="0" w:line="240" w:lineRule="auto"/>
              <w:jc w:val="center"/>
            </w:pPr>
            <w:r>
              <w:rPr>
                <w:b/>
                <w:sz w:val="18"/>
              </w:rPr>
              <w:t>Indeks (%)</w:t>
            </w:r>
          </w:p>
        </w:tc>
      </w:tr>
      <w:tr w:rsidR="009269C0" w14:paraId="3DB6AD2E" w14:textId="77777777">
        <w:tblPrEx>
          <w:tblCellMar>
            <w:top w:w="0" w:type="dxa"/>
            <w:bottom w:w="0" w:type="dxa"/>
          </w:tblCellMar>
        </w:tblPrEx>
        <w:trPr>
          <w:cantSplit/>
          <w:trHeight w:val="560"/>
        </w:trPr>
        <w:tc>
          <w:tcPr>
            <w:tcW w:w="700" w:type="dxa"/>
            <w:tcMar>
              <w:top w:w="0" w:type="dxa"/>
              <w:bottom w:w="0" w:type="dxa"/>
            </w:tcMar>
            <w:vAlign w:val="center"/>
          </w:tcPr>
          <w:p w14:paraId="3C6CD63A" w14:textId="77777777" w:rsidR="009269C0" w:rsidRDefault="00000000">
            <w:pPr>
              <w:keepNext/>
              <w:keepLines/>
              <w:spacing w:after="0" w:line="240" w:lineRule="auto"/>
            </w:pPr>
            <w:r>
              <w:rPr>
                <w:sz w:val="18"/>
              </w:rPr>
              <w:t>6632</w:t>
            </w:r>
          </w:p>
        </w:tc>
        <w:tc>
          <w:tcPr>
            <w:tcW w:w="3180" w:type="dxa"/>
            <w:tcMar>
              <w:top w:w="0" w:type="dxa"/>
              <w:bottom w:w="0" w:type="dxa"/>
            </w:tcMar>
            <w:vAlign w:val="center"/>
          </w:tcPr>
          <w:p w14:paraId="366352F3" w14:textId="77777777" w:rsidR="009269C0" w:rsidRDefault="00000000">
            <w:pPr>
              <w:keepNext/>
              <w:keepLines/>
              <w:spacing w:after="0" w:line="240" w:lineRule="auto"/>
            </w:pPr>
            <w:r>
              <w:rPr>
                <w:sz w:val="18"/>
              </w:rPr>
              <w:t>Kapitalne donacije</w:t>
            </w:r>
          </w:p>
        </w:tc>
        <w:tc>
          <w:tcPr>
            <w:tcW w:w="700" w:type="dxa"/>
            <w:tcMar>
              <w:top w:w="0" w:type="dxa"/>
              <w:bottom w:w="0" w:type="dxa"/>
            </w:tcMar>
            <w:vAlign w:val="center"/>
          </w:tcPr>
          <w:p w14:paraId="1B7212FD" w14:textId="77777777" w:rsidR="009269C0" w:rsidRDefault="00000000">
            <w:pPr>
              <w:keepNext/>
              <w:keepLines/>
              <w:spacing w:after="0" w:line="240" w:lineRule="auto"/>
            </w:pPr>
            <w:r>
              <w:rPr>
                <w:sz w:val="18"/>
              </w:rPr>
              <w:t>6632</w:t>
            </w:r>
          </w:p>
        </w:tc>
        <w:tc>
          <w:tcPr>
            <w:tcW w:w="1860" w:type="dxa"/>
            <w:tcMar>
              <w:top w:w="0" w:type="dxa"/>
              <w:bottom w:w="0" w:type="dxa"/>
            </w:tcMar>
            <w:vAlign w:val="center"/>
          </w:tcPr>
          <w:p w14:paraId="024F3E2B" w14:textId="77777777" w:rsidR="009269C0" w:rsidRDefault="00000000">
            <w:pPr>
              <w:keepNext/>
              <w:keepLines/>
              <w:spacing w:after="0" w:line="240" w:lineRule="auto"/>
              <w:jc w:val="right"/>
            </w:pPr>
            <w:r>
              <w:rPr>
                <w:sz w:val="18"/>
              </w:rPr>
              <w:t>0,00</w:t>
            </w:r>
          </w:p>
        </w:tc>
        <w:tc>
          <w:tcPr>
            <w:tcW w:w="1860" w:type="dxa"/>
            <w:tcMar>
              <w:top w:w="0" w:type="dxa"/>
              <w:bottom w:w="0" w:type="dxa"/>
            </w:tcMar>
            <w:vAlign w:val="center"/>
          </w:tcPr>
          <w:p w14:paraId="3510AB53" w14:textId="77777777" w:rsidR="009269C0" w:rsidRDefault="00000000">
            <w:pPr>
              <w:keepNext/>
              <w:keepLines/>
              <w:spacing w:after="0" w:line="240" w:lineRule="auto"/>
              <w:jc w:val="right"/>
            </w:pPr>
            <w:r>
              <w:rPr>
                <w:sz w:val="18"/>
              </w:rPr>
              <w:t>7.227,33</w:t>
            </w:r>
          </w:p>
        </w:tc>
        <w:tc>
          <w:tcPr>
            <w:tcW w:w="700" w:type="dxa"/>
            <w:tcMar>
              <w:top w:w="0" w:type="dxa"/>
              <w:bottom w:w="0" w:type="dxa"/>
            </w:tcMar>
            <w:vAlign w:val="center"/>
          </w:tcPr>
          <w:p w14:paraId="5B894F5E" w14:textId="77777777" w:rsidR="009269C0" w:rsidRDefault="00000000">
            <w:pPr>
              <w:keepNext/>
              <w:keepLines/>
              <w:spacing w:after="0" w:line="240" w:lineRule="auto"/>
              <w:jc w:val="right"/>
            </w:pPr>
            <w:r>
              <w:rPr>
                <w:sz w:val="18"/>
              </w:rPr>
              <w:t>-</w:t>
            </w:r>
          </w:p>
        </w:tc>
      </w:tr>
    </w:tbl>
    <w:p w14:paraId="241E83FF" w14:textId="77777777" w:rsidR="009269C0" w:rsidRDefault="009269C0">
      <w:pPr>
        <w:spacing w:after="0"/>
      </w:pPr>
    </w:p>
    <w:p w14:paraId="41BA8FA6" w14:textId="77777777" w:rsidR="009269C0" w:rsidRDefault="00000000">
      <w:pPr>
        <w:spacing w:line="240" w:lineRule="auto"/>
        <w:jc w:val="both"/>
      </w:pPr>
      <w:r>
        <w:t>Kapitalne donacije ostvarene su u iznosu od 7.227,33 eura, dok u istom razdoblju prošle godine nisu ostvareni.  Ostvarenje se odnosi na donacije fizičkih osoba za asfaltiranje ceste, prema potpisanom Sporazumu.</w:t>
      </w:r>
    </w:p>
    <w:p w14:paraId="2D25AE1F" w14:textId="77777777" w:rsidR="009269C0" w:rsidRDefault="009269C0"/>
    <w:p w14:paraId="1995946F" w14:textId="77777777" w:rsidR="009269C0"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06688C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6C3081"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8D97F5"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0B7CB4"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BBD20C"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75C2DD"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C19470" w14:textId="77777777" w:rsidR="009269C0" w:rsidRDefault="00000000">
            <w:pPr>
              <w:keepNext/>
              <w:keepLines/>
              <w:spacing w:after="0" w:line="240" w:lineRule="auto"/>
              <w:jc w:val="center"/>
            </w:pPr>
            <w:r>
              <w:rPr>
                <w:b/>
                <w:sz w:val="18"/>
              </w:rPr>
              <w:t>Indeks (%)</w:t>
            </w:r>
          </w:p>
        </w:tc>
      </w:tr>
      <w:tr w:rsidR="009269C0" w14:paraId="6D9358B1" w14:textId="77777777">
        <w:tblPrEx>
          <w:tblCellMar>
            <w:top w:w="0" w:type="dxa"/>
            <w:bottom w:w="0" w:type="dxa"/>
          </w:tblCellMar>
        </w:tblPrEx>
        <w:trPr>
          <w:cantSplit/>
          <w:trHeight w:val="560"/>
        </w:trPr>
        <w:tc>
          <w:tcPr>
            <w:tcW w:w="700" w:type="dxa"/>
            <w:tcMar>
              <w:top w:w="0" w:type="dxa"/>
              <w:bottom w:w="0" w:type="dxa"/>
            </w:tcMar>
            <w:vAlign w:val="center"/>
          </w:tcPr>
          <w:p w14:paraId="73D239EB" w14:textId="77777777" w:rsidR="009269C0" w:rsidRDefault="00000000">
            <w:pPr>
              <w:keepNext/>
              <w:keepLines/>
              <w:spacing w:after="0" w:line="240" w:lineRule="auto"/>
            </w:pPr>
            <w:r>
              <w:rPr>
                <w:sz w:val="18"/>
              </w:rPr>
              <w:t>683</w:t>
            </w:r>
          </w:p>
        </w:tc>
        <w:tc>
          <w:tcPr>
            <w:tcW w:w="3180" w:type="dxa"/>
            <w:tcMar>
              <w:top w:w="0" w:type="dxa"/>
              <w:bottom w:w="0" w:type="dxa"/>
            </w:tcMar>
            <w:vAlign w:val="center"/>
          </w:tcPr>
          <w:p w14:paraId="6304F317" w14:textId="77777777" w:rsidR="009269C0" w:rsidRDefault="00000000">
            <w:pPr>
              <w:keepNext/>
              <w:keepLines/>
              <w:spacing w:after="0" w:line="240" w:lineRule="auto"/>
            </w:pPr>
            <w:r>
              <w:rPr>
                <w:sz w:val="18"/>
              </w:rPr>
              <w:t>Ostali prihodi</w:t>
            </w:r>
          </w:p>
        </w:tc>
        <w:tc>
          <w:tcPr>
            <w:tcW w:w="700" w:type="dxa"/>
            <w:tcMar>
              <w:top w:w="0" w:type="dxa"/>
              <w:bottom w:w="0" w:type="dxa"/>
            </w:tcMar>
            <w:vAlign w:val="center"/>
          </w:tcPr>
          <w:p w14:paraId="4FEEA9F9" w14:textId="77777777" w:rsidR="009269C0" w:rsidRDefault="00000000">
            <w:pPr>
              <w:keepNext/>
              <w:keepLines/>
              <w:spacing w:after="0" w:line="240" w:lineRule="auto"/>
            </w:pPr>
            <w:r>
              <w:rPr>
                <w:sz w:val="18"/>
              </w:rPr>
              <w:t>683</w:t>
            </w:r>
          </w:p>
        </w:tc>
        <w:tc>
          <w:tcPr>
            <w:tcW w:w="1860" w:type="dxa"/>
            <w:tcMar>
              <w:top w:w="0" w:type="dxa"/>
              <w:bottom w:w="0" w:type="dxa"/>
            </w:tcMar>
            <w:vAlign w:val="center"/>
          </w:tcPr>
          <w:p w14:paraId="11FB8F86" w14:textId="77777777" w:rsidR="009269C0" w:rsidRDefault="00000000">
            <w:pPr>
              <w:keepNext/>
              <w:keepLines/>
              <w:spacing w:after="0" w:line="240" w:lineRule="auto"/>
              <w:jc w:val="right"/>
            </w:pPr>
            <w:r>
              <w:rPr>
                <w:sz w:val="18"/>
              </w:rPr>
              <w:t>936,88</w:t>
            </w:r>
          </w:p>
        </w:tc>
        <w:tc>
          <w:tcPr>
            <w:tcW w:w="1860" w:type="dxa"/>
            <w:tcMar>
              <w:top w:w="0" w:type="dxa"/>
              <w:bottom w:w="0" w:type="dxa"/>
            </w:tcMar>
            <w:vAlign w:val="center"/>
          </w:tcPr>
          <w:p w14:paraId="7ABDC7E4" w14:textId="77777777" w:rsidR="009269C0" w:rsidRDefault="00000000">
            <w:pPr>
              <w:keepNext/>
              <w:keepLines/>
              <w:spacing w:after="0" w:line="240" w:lineRule="auto"/>
              <w:jc w:val="right"/>
            </w:pPr>
            <w:r>
              <w:rPr>
                <w:sz w:val="18"/>
              </w:rPr>
              <w:t>10.931,97</w:t>
            </w:r>
          </w:p>
        </w:tc>
        <w:tc>
          <w:tcPr>
            <w:tcW w:w="700" w:type="dxa"/>
            <w:tcMar>
              <w:top w:w="0" w:type="dxa"/>
              <w:bottom w:w="0" w:type="dxa"/>
            </w:tcMar>
            <w:vAlign w:val="center"/>
          </w:tcPr>
          <w:p w14:paraId="5DAA6937" w14:textId="77777777" w:rsidR="009269C0" w:rsidRDefault="00000000">
            <w:pPr>
              <w:keepNext/>
              <w:keepLines/>
              <w:spacing w:after="0" w:line="240" w:lineRule="auto"/>
              <w:jc w:val="right"/>
            </w:pPr>
            <w:r>
              <w:rPr>
                <w:sz w:val="18"/>
              </w:rPr>
              <w:t>1166,8</w:t>
            </w:r>
          </w:p>
        </w:tc>
      </w:tr>
    </w:tbl>
    <w:p w14:paraId="48BE65DA" w14:textId="77777777" w:rsidR="009269C0" w:rsidRDefault="009269C0">
      <w:pPr>
        <w:spacing w:after="0"/>
      </w:pPr>
    </w:p>
    <w:p w14:paraId="4B56373C" w14:textId="77777777" w:rsidR="009269C0" w:rsidRDefault="00000000">
      <w:pPr>
        <w:spacing w:line="240" w:lineRule="auto"/>
        <w:jc w:val="both"/>
      </w:pPr>
      <w:r>
        <w:t xml:space="preserve">Ostali prihodi ostvareni su u visini od 10.931,97 eura a odnose se na prihode odnosno povrat sredstava po sporazumu o konačnom obračunu troškova za uređenje Dječjeg odmarališta </w:t>
      </w:r>
      <w:proofErr w:type="spellStart"/>
      <w:r>
        <w:t>Špadići</w:t>
      </w:r>
      <w:proofErr w:type="spellEnd"/>
      <w:r>
        <w:t xml:space="preserve"> u Poreču.</w:t>
      </w:r>
    </w:p>
    <w:p w14:paraId="4591C6DF" w14:textId="77777777" w:rsidR="009269C0" w:rsidRDefault="009269C0"/>
    <w:p w14:paraId="04873D32" w14:textId="77777777" w:rsidR="009269C0"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2D7257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435505"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2180F3"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5CC5D6"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1EA19A"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2A31FD"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CC94B8" w14:textId="77777777" w:rsidR="009269C0" w:rsidRDefault="00000000">
            <w:pPr>
              <w:keepNext/>
              <w:keepLines/>
              <w:spacing w:after="0" w:line="240" w:lineRule="auto"/>
              <w:jc w:val="center"/>
            </w:pPr>
            <w:r>
              <w:rPr>
                <w:b/>
                <w:sz w:val="18"/>
              </w:rPr>
              <w:t>Indeks (%)</w:t>
            </w:r>
          </w:p>
        </w:tc>
      </w:tr>
      <w:tr w:rsidR="009269C0" w14:paraId="52C82008" w14:textId="77777777">
        <w:tblPrEx>
          <w:tblCellMar>
            <w:top w:w="0" w:type="dxa"/>
            <w:bottom w:w="0" w:type="dxa"/>
          </w:tblCellMar>
        </w:tblPrEx>
        <w:trPr>
          <w:cantSplit/>
          <w:trHeight w:val="560"/>
        </w:trPr>
        <w:tc>
          <w:tcPr>
            <w:tcW w:w="700" w:type="dxa"/>
            <w:tcMar>
              <w:top w:w="0" w:type="dxa"/>
              <w:bottom w:w="0" w:type="dxa"/>
            </w:tcMar>
            <w:vAlign w:val="center"/>
          </w:tcPr>
          <w:p w14:paraId="16965847" w14:textId="77777777" w:rsidR="009269C0" w:rsidRDefault="00000000">
            <w:pPr>
              <w:keepNext/>
              <w:keepLines/>
              <w:spacing w:after="0" w:line="240" w:lineRule="auto"/>
            </w:pPr>
            <w:r>
              <w:rPr>
                <w:sz w:val="18"/>
              </w:rPr>
              <w:t>3</w:t>
            </w:r>
          </w:p>
        </w:tc>
        <w:tc>
          <w:tcPr>
            <w:tcW w:w="3180" w:type="dxa"/>
            <w:tcMar>
              <w:top w:w="0" w:type="dxa"/>
              <w:bottom w:w="0" w:type="dxa"/>
            </w:tcMar>
            <w:vAlign w:val="center"/>
          </w:tcPr>
          <w:p w14:paraId="20C56646" w14:textId="77777777" w:rsidR="009269C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FF15409" w14:textId="77777777" w:rsidR="009269C0" w:rsidRDefault="00000000">
            <w:pPr>
              <w:keepNext/>
              <w:keepLines/>
              <w:spacing w:after="0" w:line="240" w:lineRule="auto"/>
            </w:pPr>
            <w:r>
              <w:rPr>
                <w:sz w:val="18"/>
              </w:rPr>
              <w:t>3</w:t>
            </w:r>
          </w:p>
        </w:tc>
        <w:tc>
          <w:tcPr>
            <w:tcW w:w="1860" w:type="dxa"/>
            <w:tcMar>
              <w:top w:w="0" w:type="dxa"/>
              <w:bottom w:w="0" w:type="dxa"/>
            </w:tcMar>
            <w:vAlign w:val="center"/>
          </w:tcPr>
          <w:p w14:paraId="7831B77B" w14:textId="77777777" w:rsidR="009269C0" w:rsidRDefault="00000000">
            <w:pPr>
              <w:keepNext/>
              <w:keepLines/>
              <w:spacing w:after="0" w:line="240" w:lineRule="auto"/>
              <w:jc w:val="right"/>
            </w:pPr>
            <w:r>
              <w:rPr>
                <w:sz w:val="18"/>
              </w:rPr>
              <w:t>910.580,44</w:t>
            </w:r>
          </w:p>
        </w:tc>
        <w:tc>
          <w:tcPr>
            <w:tcW w:w="1860" w:type="dxa"/>
            <w:tcMar>
              <w:top w:w="0" w:type="dxa"/>
              <w:bottom w:w="0" w:type="dxa"/>
            </w:tcMar>
            <w:vAlign w:val="center"/>
          </w:tcPr>
          <w:p w14:paraId="2658DE33" w14:textId="77777777" w:rsidR="009269C0" w:rsidRDefault="00000000">
            <w:pPr>
              <w:keepNext/>
              <w:keepLines/>
              <w:spacing w:after="0" w:line="240" w:lineRule="auto"/>
              <w:jc w:val="right"/>
            </w:pPr>
            <w:r>
              <w:rPr>
                <w:sz w:val="18"/>
              </w:rPr>
              <w:t>1.249.463,59</w:t>
            </w:r>
          </w:p>
        </w:tc>
        <w:tc>
          <w:tcPr>
            <w:tcW w:w="700" w:type="dxa"/>
            <w:tcMar>
              <w:top w:w="0" w:type="dxa"/>
              <w:bottom w:w="0" w:type="dxa"/>
            </w:tcMar>
            <w:vAlign w:val="center"/>
          </w:tcPr>
          <w:p w14:paraId="3A510F63" w14:textId="77777777" w:rsidR="009269C0" w:rsidRDefault="00000000">
            <w:pPr>
              <w:keepNext/>
              <w:keepLines/>
              <w:spacing w:after="0" w:line="240" w:lineRule="auto"/>
              <w:jc w:val="right"/>
            </w:pPr>
            <w:r>
              <w:rPr>
                <w:sz w:val="18"/>
              </w:rPr>
              <w:t>137,2</w:t>
            </w:r>
          </w:p>
        </w:tc>
      </w:tr>
    </w:tbl>
    <w:p w14:paraId="6281AF4B" w14:textId="77777777" w:rsidR="009269C0" w:rsidRDefault="009269C0">
      <w:pPr>
        <w:spacing w:after="0"/>
      </w:pPr>
    </w:p>
    <w:p w14:paraId="242EA8AA" w14:textId="77777777" w:rsidR="009269C0" w:rsidRDefault="00000000">
      <w:pPr>
        <w:spacing w:line="240" w:lineRule="auto"/>
        <w:jc w:val="both"/>
      </w:pPr>
      <w:r>
        <w:t>Srazmjerno povećanju prihoda poslovanja bilježimo i rast rashoda poslovanja u odnosu na isto razdoblje prošle godine. Najveće povećanje u rashodima poslovanja bilježi se na materijalnim rashodima, subvencijama i pomoći dane u inozemstvo i unutar općeg proračuna.</w:t>
      </w:r>
    </w:p>
    <w:p w14:paraId="2D09421F" w14:textId="77777777" w:rsidR="009269C0" w:rsidRDefault="009269C0"/>
    <w:p w14:paraId="573A7A39" w14:textId="77777777" w:rsidR="009269C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069318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6FCA2D"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AC08A6"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D49C26"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74175"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1715D3"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ACFDD9" w14:textId="77777777" w:rsidR="009269C0" w:rsidRDefault="00000000">
            <w:pPr>
              <w:keepNext/>
              <w:keepLines/>
              <w:spacing w:after="0" w:line="240" w:lineRule="auto"/>
              <w:jc w:val="center"/>
            </w:pPr>
            <w:r>
              <w:rPr>
                <w:b/>
                <w:sz w:val="18"/>
              </w:rPr>
              <w:t>Indeks (%)</w:t>
            </w:r>
          </w:p>
        </w:tc>
      </w:tr>
      <w:tr w:rsidR="009269C0" w14:paraId="492FEB90" w14:textId="77777777">
        <w:tblPrEx>
          <w:tblCellMar>
            <w:top w:w="0" w:type="dxa"/>
            <w:bottom w:w="0" w:type="dxa"/>
          </w:tblCellMar>
        </w:tblPrEx>
        <w:trPr>
          <w:cantSplit/>
          <w:trHeight w:val="560"/>
        </w:trPr>
        <w:tc>
          <w:tcPr>
            <w:tcW w:w="700" w:type="dxa"/>
            <w:tcMar>
              <w:top w:w="0" w:type="dxa"/>
              <w:bottom w:w="0" w:type="dxa"/>
            </w:tcMar>
            <w:vAlign w:val="center"/>
          </w:tcPr>
          <w:p w14:paraId="5412F526" w14:textId="77777777" w:rsidR="009269C0" w:rsidRDefault="00000000">
            <w:pPr>
              <w:keepNext/>
              <w:keepLines/>
              <w:spacing w:after="0" w:line="240" w:lineRule="auto"/>
            </w:pPr>
            <w:r>
              <w:rPr>
                <w:sz w:val="18"/>
              </w:rPr>
              <w:t>31</w:t>
            </w:r>
          </w:p>
        </w:tc>
        <w:tc>
          <w:tcPr>
            <w:tcW w:w="3180" w:type="dxa"/>
            <w:tcMar>
              <w:top w:w="0" w:type="dxa"/>
              <w:bottom w:w="0" w:type="dxa"/>
            </w:tcMar>
            <w:vAlign w:val="center"/>
          </w:tcPr>
          <w:p w14:paraId="7653903D" w14:textId="77777777" w:rsidR="009269C0"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ED16167" w14:textId="77777777" w:rsidR="009269C0" w:rsidRDefault="00000000">
            <w:pPr>
              <w:keepNext/>
              <w:keepLines/>
              <w:spacing w:after="0" w:line="240" w:lineRule="auto"/>
            </w:pPr>
            <w:r>
              <w:rPr>
                <w:sz w:val="18"/>
              </w:rPr>
              <w:t>31</w:t>
            </w:r>
          </w:p>
        </w:tc>
        <w:tc>
          <w:tcPr>
            <w:tcW w:w="1860" w:type="dxa"/>
            <w:tcMar>
              <w:top w:w="0" w:type="dxa"/>
              <w:bottom w:w="0" w:type="dxa"/>
            </w:tcMar>
            <w:vAlign w:val="center"/>
          </w:tcPr>
          <w:p w14:paraId="4192A654" w14:textId="77777777" w:rsidR="009269C0" w:rsidRDefault="00000000">
            <w:pPr>
              <w:keepNext/>
              <w:keepLines/>
              <w:spacing w:after="0" w:line="240" w:lineRule="auto"/>
              <w:jc w:val="right"/>
            </w:pPr>
            <w:r>
              <w:rPr>
                <w:sz w:val="18"/>
              </w:rPr>
              <w:t>74.153,65</w:t>
            </w:r>
          </w:p>
        </w:tc>
        <w:tc>
          <w:tcPr>
            <w:tcW w:w="1860" w:type="dxa"/>
            <w:tcMar>
              <w:top w:w="0" w:type="dxa"/>
              <w:bottom w:w="0" w:type="dxa"/>
            </w:tcMar>
            <w:vAlign w:val="center"/>
          </w:tcPr>
          <w:p w14:paraId="3203AC5F" w14:textId="77777777" w:rsidR="009269C0" w:rsidRDefault="00000000">
            <w:pPr>
              <w:keepNext/>
              <w:keepLines/>
              <w:spacing w:after="0" w:line="240" w:lineRule="auto"/>
              <w:jc w:val="right"/>
            </w:pPr>
            <w:r>
              <w:rPr>
                <w:sz w:val="18"/>
              </w:rPr>
              <w:t>114.865,93</w:t>
            </w:r>
          </w:p>
        </w:tc>
        <w:tc>
          <w:tcPr>
            <w:tcW w:w="700" w:type="dxa"/>
            <w:tcMar>
              <w:top w:w="0" w:type="dxa"/>
              <w:bottom w:w="0" w:type="dxa"/>
            </w:tcMar>
            <w:vAlign w:val="center"/>
          </w:tcPr>
          <w:p w14:paraId="51F899C5" w14:textId="77777777" w:rsidR="009269C0" w:rsidRDefault="00000000">
            <w:pPr>
              <w:keepNext/>
              <w:keepLines/>
              <w:spacing w:after="0" w:line="240" w:lineRule="auto"/>
              <w:jc w:val="right"/>
            </w:pPr>
            <w:r>
              <w:rPr>
                <w:sz w:val="18"/>
              </w:rPr>
              <w:t>154,9</w:t>
            </w:r>
          </w:p>
        </w:tc>
      </w:tr>
    </w:tbl>
    <w:p w14:paraId="4E6CDAB7" w14:textId="77777777" w:rsidR="009269C0" w:rsidRDefault="009269C0">
      <w:pPr>
        <w:spacing w:after="0"/>
      </w:pPr>
    </w:p>
    <w:p w14:paraId="410F6B6F" w14:textId="77777777" w:rsidR="009269C0" w:rsidRDefault="00000000">
      <w:pPr>
        <w:spacing w:line="240" w:lineRule="auto"/>
        <w:jc w:val="both"/>
      </w:pPr>
      <w:r>
        <w:t>Rashodi za zaposlene i ostale naknade za zaposlene povećani su u odnosu na isto razdoblje prethodne godine. Razlog tome su povećanje proračunske osnovice za obračun plaća i ostalih neoporezivih naknada u dva navrata tijekom 2024. godine, te zapošljavanje jednog novog djelatnika od 1.9.2024. godine.</w:t>
      </w:r>
    </w:p>
    <w:p w14:paraId="079949B5" w14:textId="77777777" w:rsidR="009269C0" w:rsidRDefault="009269C0"/>
    <w:p w14:paraId="1EAD6A11" w14:textId="77777777" w:rsidR="009269C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3C163A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CAC253"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8DD42D"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119D15"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C42D8F"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149540"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AE8AF8" w14:textId="77777777" w:rsidR="009269C0" w:rsidRDefault="00000000">
            <w:pPr>
              <w:keepNext/>
              <w:keepLines/>
              <w:spacing w:after="0" w:line="240" w:lineRule="auto"/>
              <w:jc w:val="center"/>
            </w:pPr>
            <w:r>
              <w:rPr>
                <w:b/>
                <w:sz w:val="18"/>
              </w:rPr>
              <w:t>Indeks (%)</w:t>
            </w:r>
          </w:p>
        </w:tc>
      </w:tr>
      <w:tr w:rsidR="009269C0" w14:paraId="516D311A" w14:textId="77777777">
        <w:tblPrEx>
          <w:tblCellMar>
            <w:top w:w="0" w:type="dxa"/>
            <w:bottom w:w="0" w:type="dxa"/>
          </w:tblCellMar>
        </w:tblPrEx>
        <w:trPr>
          <w:cantSplit/>
          <w:trHeight w:val="560"/>
        </w:trPr>
        <w:tc>
          <w:tcPr>
            <w:tcW w:w="700" w:type="dxa"/>
            <w:tcMar>
              <w:top w:w="0" w:type="dxa"/>
              <w:bottom w:w="0" w:type="dxa"/>
            </w:tcMar>
            <w:vAlign w:val="center"/>
          </w:tcPr>
          <w:p w14:paraId="3BC7F052" w14:textId="77777777" w:rsidR="009269C0" w:rsidRDefault="00000000">
            <w:pPr>
              <w:keepNext/>
              <w:keepLines/>
              <w:spacing w:after="0" w:line="240" w:lineRule="auto"/>
            </w:pPr>
            <w:r>
              <w:rPr>
                <w:sz w:val="18"/>
              </w:rPr>
              <w:t>32</w:t>
            </w:r>
          </w:p>
        </w:tc>
        <w:tc>
          <w:tcPr>
            <w:tcW w:w="3180" w:type="dxa"/>
            <w:tcMar>
              <w:top w:w="0" w:type="dxa"/>
              <w:bottom w:w="0" w:type="dxa"/>
            </w:tcMar>
            <w:vAlign w:val="center"/>
          </w:tcPr>
          <w:p w14:paraId="005B4ACA" w14:textId="77777777" w:rsidR="009269C0"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4950E86C" w14:textId="77777777" w:rsidR="009269C0" w:rsidRDefault="00000000">
            <w:pPr>
              <w:keepNext/>
              <w:keepLines/>
              <w:spacing w:after="0" w:line="240" w:lineRule="auto"/>
            </w:pPr>
            <w:r>
              <w:rPr>
                <w:sz w:val="18"/>
              </w:rPr>
              <w:t>32</w:t>
            </w:r>
          </w:p>
        </w:tc>
        <w:tc>
          <w:tcPr>
            <w:tcW w:w="1860" w:type="dxa"/>
            <w:tcMar>
              <w:top w:w="0" w:type="dxa"/>
              <w:bottom w:w="0" w:type="dxa"/>
            </w:tcMar>
            <w:vAlign w:val="center"/>
          </w:tcPr>
          <w:p w14:paraId="3FF14430" w14:textId="77777777" w:rsidR="009269C0" w:rsidRDefault="00000000">
            <w:pPr>
              <w:keepNext/>
              <w:keepLines/>
              <w:spacing w:after="0" w:line="240" w:lineRule="auto"/>
              <w:jc w:val="right"/>
            </w:pPr>
            <w:r>
              <w:rPr>
                <w:sz w:val="18"/>
              </w:rPr>
              <w:t>465.961,96</w:t>
            </w:r>
          </w:p>
        </w:tc>
        <w:tc>
          <w:tcPr>
            <w:tcW w:w="1860" w:type="dxa"/>
            <w:tcMar>
              <w:top w:w="0" w:type="dxa"/>
              <w:bottom w:w="0" w:type="dxa"/>
            </w:tcMar>
            <w:vAlign w:val="center"/>
          </w:tcPr>
          <w:p w14:paraId="25D1BC35" w14:textId="77777777" w:rsidR="009269C0" w:rsidRDefault="00000000">
            <w:pPr>
              <w:keepNext/>
              <w:keepLines/>
              <w:spacing w:after="0" w:line="240" w:lineRule="auto"/>
              <w:jc w:val="right"/>
            </w:pPr>
            <w:r>
              <w:rPr>
                <w:sz w:val="18"/>
              </w:rPr>
              <w:t>563.030,22</w:t>
            </w:r>
          </w:p>
        </w:tc>
        <w:tc>
          <w:tcPr>
            <w:tcW w:w="700" w:type="dxa"/>
            <w:tcMar>
              <w:top w:w="0" w:type="dxa"/>
              <w:bottom w:w="0" w:type="dxa"/>
            </w:tcMar>
            <w:vAlign w:val="center"/>
          </w:tcPr>
          <w:p w14:paraId="7A2DFDC4" w14:textId="77777777" w:rsidR="009269C0" w:rsidRDefault="00000000">
            <w:pPr>
              <w:keepNext/>
              <w:keepLines/>
              <w:spacing w:after="0" w:line="240" w:lineRule="auto"/>
              <w:jc w:val="right"/>
            </w:pPr>
            <w:r>
              <w:rPr>
                <w:sz w:val="18"/>
              </w:rPr>
              <w:t>120,8</w:t>
            </w:r>
          </w:p>
        </w:tc>
      </w:tr>
    </w:tbl>
    <w:p w14:paraId="650197AC" w14:textId="77777777" w:rsidR="009269C0" w:rsidRDefault="009269C0">
      <w:pPr>
        <w:spacing w:after="0"/>
      </w:pPr>
    </w:p>
    <w:p w14:paraId="09248A8A" w14:textId="77777777" w:rsidR="009269C0" w:rsidRDefault="00000000">
      <w:pPr>
        <w:spacing w:line="240" w:lineRule="auto"/>
        <w:jc w:val="both"/>
      </w:pPr>
      <w:r>
        <w:t>Materijalni rashodi bilježe porast u odnosu na isto razdoblje prošle godine zbog povećanja usluga tekućeg i investicijskog održavanja.</w:t>
      </w:r>
    </w:p>
    <w:p w14:paraId="59E37692" w14:textId="77777777" w:rsidR="009269C0" w:rsidRDefault="009269C0"/>
    <w:p w14:paraId="06489FDA" w14:textId="77777777" w:rsidR="009269C0"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0343F8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291562"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262A5D"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422D9"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29E2B6"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EB079A"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8F9495" w14:textId="77777777" w:rsidR="009269C0" w:rsidRDefault="00000000">
            <w:pPr>
              <w:keepNext/>
              <w:keepLines/>
              <w:spacing w:after="0" w:line="240" w:lineRule="auto"/>
              <w:jc w:val="center"/>
            </w:pPr>
            <w:r>
              <w:rPr>
                <w:b/>
                <w:sz w:val="18"/>
              </w:rPr>
              <w:t>Indeks (%)</w:t>
            </w:r>
          </w:p>
        </w:tc>
      </w:tr>
      <w:tr w:rsidR="009269C0" w14:paraId="20967FFC" w14:textId="77777777">
        <w:tblPrEx>
          <w:tblCellMar>
            <w:top w:w="0" w:type="dxa"/>
            <w:bottom w:w="0" w:type="dxa"/>
          </w:tblCellMar>
        </w:tblPrEx>
        <w:trPr>
          <w:cantSplit/>
          <w:trHeight w:val="560"/>
        </w:trPr>
        <w:tc>
          <w:tcPr>
            <w:tcW w:w="700" w:type="dxa"/>
            <w:tcMar>
              <w:top w:w="0" w:type="dxa"/>
              <w:bottom w:w="0" w:type="dxa"/>
            </w:tcMar>
            <w:vAlign w:val="center"/>
          </w:tcPr>
          <w:p w14:paraId="61A93D20" w14:textId="77777777" w:rsidR="009269C0" w:rsidRDefault="00000000">
            <w:pPr>
              <w:keepNext/>
              <w:keepLines/>
              <w:spacing w:after="0" w:line="240" w:lineRule="auto"/>
            </w:pPr>
            <w:r>
              <w:rPr>
                <w:sz w:val="18"/>
              </w:rPr>
              <w:t>3232</w:t>
            </w:r>
          </w:p>
        </w:tc>
        <w:tc>
          <w:tcPr>
            <w:tcW w:w="3180" w:type="dxa"/>
            <w:tcMar>
              <w:top w:w="0" w:type="dxa"/>
              <w:bottom w:w="0" w:type="dxa"/>
            </w:tcMar>
            <w:vAlign w:val="center"/>
          </w:tcPr>
          <w:p w14:paraId="349ADAC1" w14:textId="77777777" w:rsidR="009269C0"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33C6FEB2" w14:textId="77777777" w:rsidR="009269C0" w:rsidRDefault="00000000">
            <w:pPr>
              <w:keepNext/>
              <w:keepLines/>
              <w:spacing w:after="0" w:line="240" w:lineRule="auto"/>
            </w:pPr>
            <w:r>
              <w:rPr>
                <w:sz w:val="18"/>
              </w:rPr>
              <w:t>3232</w:t>
            </w:r>
          </w:p>
        </w:tc>
        <w:tc>
          <w:tcPr>
            <w:tcW w:w="1860" w:type="dxa"/>
            <w:tcMar>
              <w:top w:w="0" w:type="dxa"/>
              <w:bottom w:w="0" w:type="dxa"/>
            </w:tcMar>
            <w:vAlign w:val="center"/>
          </w:tcPr>
          <w:p w14:paraId="7425D1AC" w14:textId="77777777" w:rsidR="009269C0" w:rsidRDefault="00000000">
            <w:pPr>
              <w:keepNext/>
              <w:keepLines/>
              <w:spacing w:after="0" w:line="240" w:lineRule="auto"/>
              <w:jc w:val="right"/>
            </w:pPr>
            <w:r>
              <w:rPr>
                <w:sz w:val="18"/>
              </w:rPr>
              <w:t>154.762,99</w:t>
            </w:r>
          </w:p>
        </w:tc>
        <w:tc>
          <w:tcPr>
            <w:tcW w:w="1860" w:type="dxa"/>
            <w:tcMar>
              <w:top w:w="0" w:type="dxa"/>
              <w:bottom w:w="0" w:type="dxa"/>
            </w:tcMar>
            <w:vAlign w:val="center"/>
          </w:tcPr>
          <w:p w14:paraId="69E9999C" w14:textId="77777777" w:rsidR="009269C0" w:rsidRDefault="00000000">
            <w:pPr>
              <w:keepNext/>
              <w:keepLines/>
              <w:spacing w:after="0" w:line="240" w:lineRule="auto"/>
              <w:jc w:val="right"/>
            </w:pPr>
            <w:r>
              <w:rPr>
                <w:sz w:val="18"/>
              </w:rPr>
              <w:t>256.319,50</w:t>
            </w:r>
          </w:p>
        </w:tc>
        <w:tc>
          <w:tcPr>
            <w:tcW w:w="700" w:type="dxa"/>
            <w:tcMar>
              <w:top w:w="0" w:type="dxa"/>
              <w:bottom w:w="0" w:type="dxa"/>
            </w:tcMar>
            <w:vAlign w:val="center"/>
          </w:tcPr>
          <w:p w14:paraId="41B6E5B1" w14:textId="77777777" w:rsidR="009269C0" w:rsidRDefault="00000000">
            <w:pPr>
              <w:keepNext/>
              <w:keepLines/>
              <w:spacing w:after="0" w:line="240" w:lineRule="auto"/>
              <w:jc w:val="right"/>
            </w:pPr>
            <w:r>
              <w:rPr>
                <w:sz w:val="18"/>
              </w:rPr>
              <w:t>165,6</w:t>
            </w:r>
          </w:p>
        </w:tc>
      </w:tr>
    </w:tbl>
    <w:p w14:paraId="48B8A15E" w14:textId="77777777" w:rsidR="009269C0" w:rsidRDefault="009269C0">
      <w:pPr>
        <w:spacing w:after="0"/>
      </w:pPr>
    </w:p>
    <w:p w14:paraId="6E135D2D" w14:textId="77777777" w:rsidR="009269C0" w:rsidRDefault="00000000">
      <w:pPr>
        <w:spacing w:line="240" w:lineRule="auto"/>
        <w:jc w:val="both"/>
      </w:pPr>
      <w:r>
        <w:t>Rashodi za usluge tekućeg i investicijskog održavanja povećani su za 65,6% u odnosu na isto razdoblje prošle godine a razlog povećaju su povećane cijene usluga održavanja javnih površina i, nerazvrstanih puteva, održavanje groblja.</w:t>
      </w:r>
    </w:p>
    <w:p w14:paraId="77EA72DE" w14:textId="77777777" w:rsidR="009269C0" w:rsidRDefault="009269C0"/>
    <w:p w14:paraId="7845A1A9" w14:textId="77777777" w:rsidR="009269C0"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3850EB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57C9B5"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E1DB3B"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A41BEF"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D06DD2"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214DD"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B73AA0" w14:textId="77777777" w:rsidR="009269C0" w:rsidRDefault="00000000">
            <w:pPr>
              <w:keepNext/>
              <w:keepLines/>
              <w:spacing w:after="0" w:line="240" w:lineRule="auto"/>
              <w:jc w:val="center"/>
            </w:pPr>
            <w:r>
              <w:rPr>
                <w:b/>
                <w:sz w:val="18"/>
              </w:rPr>
              <w:t>Indeks (%)</w:t>
            </w:r>
          </w:p>
        </w:tc>
      </w:tr>
      <w:tr w:rsidR="009269C0" w14:paraId="23E0A098" w14:textId="77777777">
        <w:tblPrEx>
          <w:tblCellMar>
            <w:top w:w="0" w:type="dxa"/>
            <w:bottom w:w="0" w:type="dxa"/>
          </w:tblCellMar>
        </w:tblPrEx>
        <w:trPr>
          <w:cantSplit/>
          <w:trHeight w:val="560"/>
        </w:trPr>
        <w:tc>
          <w:tcPr>
            <w:tcW w:w="700" w:type="dxa"/>
            <w:tcMar>
              <w:top w:w="0" w:type="dxa"/>
              <w:bottom w:w="0" w:type="dxa"/>
            </w:tcMar>
            <w:vAlign w:val="center"/>
          </w:tcPr>
          <w:p w14:paraId="13761C30" w14:textId="77777777" w:rsidR="009269C0" w:rsidRDefault="00000000">
            <w:pPr>
              <w:keepNext/>
              <w:keepLines/>
              <w:spacing w:after="0" w:line="240" w:lineRule="auto"/>
            </w:pPr>
            <w:r>
              <w:rPr>
                <w:sz w:val="18"/>
              </w:rPr>
              <w:t>34</w:t>
            </w:r>
          </w:p>
        </w:tc>
        <w:tc>
          <w:tcPr>
            <w:tcW w:w="3180" w:type="dxa"/>
            <w:tcMar>
              <w:top w:w="0" w:type="dxa"/>
              <w:bottom w:w="0" w:type="dxa"/>
            </w:tcMar>
            <w:vAlign w:val="center"/>
          </w:tcPr>
          <w:p w14:paraId="3524242C" w14:textId="77777777" w:rsidR="009269C0"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68C7171" w14:textId="77777777" w:rsidR="009269C0" w:rsidRDefault="00000000">
            <w:pPr>
              <w:keepNext/>
              <w:keepLines/>
              <w:spacing w:after="0" w:line="240" w:lineRule="auto"/>
            </w:pPr>
            <w:r>
              <w:rPr>
                <w:sz w:val="18"/>
              </w:rPr>
              <w:t>34</w:t>
            </w:r>
          </w:p>
        </w:tc>
        <w:tc>
          <w:tcPr>
            <w:tcW w:w="1860" w:type="dxa"/>
            <w:tcMar>
              <w:top w:w="0" w:type="dxa"/>
              <w:bottom w:w="0" w:type="dxa"/>
            </w:tcMar>
            <w:vAlign w:val="center"/>
          </w:tcPr>
          <w:p w14:paraId="14E8E481" w14:textId="77777777" w:rsidR="009269C0" w:rsidRDefault="00000000">
            <w:pPr>
              <w:keepNext/>
              <w:keepLines/>
              <w:spacing w:after="0" w:line="240" w:lineRule="auto"/>
              <w:jc w:val="right"/>
            </w:pPr>
            <w:r>
              <w:rPr>
                <w:sz w:val="18"/>
              </w:rPr>
              <w:t>9.502,55</w:t>
            </w:r>
          </w:p>
        </w:tc>
        <w:tc>
          <w:tcPr>
            <w:tcW w:w="1860" w:type="dxa"/>
            <w:tcMar>
              <w:top w:w="0" w:type="dxa"/>
              <w:bottom w:w="0" w:type="dxa"/>
            </w:tcMar>
            <w:vAlign w:val="center"/>
          </w:tcPr>
          <w:p w14:paraId="4592E448" w14:textId="77777777" w:rsidR="009269C0" w:rsidRDefault="00000000">
            <w:pPr>
              <w:keepNext/>
              <w:keepLines/>
              <w:spacing w:after="0" w:line="240" w:lineRule="auto"/>
              <w:jc w:val="right"/>
            </w:pPr>
            <w:r>
              <w:rPr>
                <w:sz w:val="18"/>
              </w:rPr>
              <w:t>5.156,56</w:t>
            </w:r>
          </w:p>
        </w:tc>
        <w:tc>
          <w:tcPr>
            <w:tcW w:w="700" w:type="dxa"/>
            <w:tcMar>
              <w:top w:w="0" w:type="dxa"/>
              <w:bottom w:w="0" w:type="dxa"/>
            </w:tcMar>
            <w:vAlign w:val="center"/>
          </w:tcPr>
          <w:p w14:paraId="2F4C7992" w14:textId="77777777" w:rsidR="009269C0" w:rsidRDefault="00000000">
            <w:pPr>
              <w:keepNext/>
              <w:keepLines/>
              <w:spacing w:after="0" w:line="240" w:lineRule="auto"/>
              <w:jc w:val="right"/>
            </w:pPr>
            <w:r>
              <w:rPr>
                <w:sz w:val="18"/>
              </w:rPr>
              <w:t>54,3</w:t>
            </w:r>
          </w:p>
        </w:tc>
      </w:tr>
    </w:tbl>
    <w:p w14:paraId="7B7DB6CA" w14:textId="77777777" w:rsidR="009269C0" w:rsidRDefault="009269C0">
      <w:pPr>
        <w:spacing w:after="0"/>
      </w:pPr>
    </w:p>
    <w:p w14:paraId="20DA5FD7" w14:textId="77777777" w:rsidR="009269C0" w:rsidRDefault="00000000">
      <w:pPr>
        <w:spacing w:line="240" w:lineRule="auto"/>
        <w:jc w:val="both"/>
      </w:pPr>
      <w:r>
        <w:t>Financijski rashodi bilježe pad u odnosu na isto razdoblje prošle godine, zbog smanjenja cijena bankarskih usluga i usluga platnog prometa.</w:t>
      </w:r>
    </w:p>
    <w:p w14:paraId="749B89B4" w14:textId="77777777" w:rsidR="009269C0" w:rsidRDefault="009269C0"/>
    <w:p w14:paraId="0DFEACFD" w14:textId="77777777" w:rsidR="009269C0"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6684A9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3F1D47"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5335E9"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481511"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5D1CD1"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7707D"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136133" w14:textId="77777777" w:rsidR="009269C0" w:rsidRDefault="00000000">
            <w:pPr>
              <w:keepNext/>
              <w:keepLines/>
              <w:spacing w:after="0" w:line="240" w:lineRule="auto"/>
              <w:jc w:val="center"/>
            </w:pPr>
            <w:r>
              <w:rPr>
                <w:b/>
                <w:sz w:val="18"/>
              </w:rPr>
              <w:t>Indeks (%)</w:t>
            </w:r>
          </w:p>
        </w:tc>
      </w:tr>
      <w:tr w:rsidR="009269C0" w14:paraId="43322444" w14:textId="77777777">
        <w:tblPrEx>
          <w:tblCellMar>
            <w:top w:w="0" w:type="dxa"/>
            <w:bottom w:w="0" w:type="dxa"/>
          </w:tblCellMar>
        </w:tblPrEx>
        <w:trPr>
          <w:cantSplit/>
          <w:trHeight w:val="560"/>
        </w:trPr>
        <w:tc>
          <w:tcPr>
            <w:tcW w:w="700" w:type="dxa"/>
            <w:tcMar>
              <w:top w:w="0" w:type="dxa"/>
              <w:bottom w:w="0" w:type="dxa"/>
            </w:tcMar>
            <w:vAlign w:val="center"/>
          </w:tcPr>
          <w:p w14:paraId="0A6E7558" w14:textId="77777777" w:rsidR="009269C0" w:rsidRDefault="00000000">
            <w:pPr>
              <w:keepNext/>
              <w:keepLines/>
              <w:spacing w:after="0" w:line="240" w:lineRule="auto"/>
            </w:pPr>
            <w:r>
              <w:rPr>
                <w:sz w:val="18"/>
              </w:rPr>
              <w:t>352</w:t>
            </w:r>
          </w:p>
        </w:tc>
        <w:tc>
          <w:tcPr>
            <w:tcW w:w="3180" w:type="dxa"/>
            <w:tcMar>
              <w:top w:w="0" w:type="dxa"/>
              <w:bottom w:w="0" w:type="dxa"/>
            </w:tcMar>
            <w:vAlign w:val="center"/>
          </w:tcPr>
          <w:p w14:paraId="4A98717B" w14:textId="77777777" w:rsidR="009269C0"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55466495" w14:textId="77777777" w:rsidR="009269C0" w:rsidRDefault="00000000">
            <w:pPr>
              <w:keepNext/>
              <w:keepLines/>
              <w:spacing w:after="0" w:line="240" w:lineRule="auto"/>
            </w:pPr>
            <w:r>
              <w:rPr>
                <w:sz w:val="18"/>
              </w:rPr>
              <w:t>352</w:t>
            </w:r>
          </w:p>
        </w:tc>
        <w:tc>
          <w:tcPr>
            <w:tcW w:w="1860" w:type="dxa"/>
            <w:tcMar>
              <w:top w:w="0" w:type="dxa"/>
              <w:bottom w:w="0" w:type="dxa"/>
            </w:tcMar>
            <w:vAlign w:val="center"/>
          </w:tcPr>
          <w:p w14:paraId="088D8D5C" w14:textId="77777777" w:rsidR="009269C0" w:rsidRDefault="00000000">
            <w:pPr>
              <w:keepNext/>
              <w:keepLines/>
              <w:spacing w:after="0" w:line="240" w:lineRule="auto"/>
              <w:jc w:val="right"/>
            </w:pPr>
            <w:r>
              <w:rPr>
                <w:sz w:val="18"/>
              </w:rPr>
              <w:t>400,00</w:t>
            </w:r>
          </w:p>
        </w:tc>
        <w:tc>
          <w:tcPr>
            <w:tcW w:w="1860" w:type="dxa"/>
            <w:tcMar>
              <w:top w:w="0" w:type="dxa"/>
              <w:bottom w:w="0" w:type="dxa"/>
            </w:tcMar>
            <w:vAlign w:val="center"/>
          </w:tcPr>
          <w:p w14:paraId="3974C51C" w14:textId="77777777" w:rsidR="009269C0" w:rsidRDefault="00000000">
            <w:pPr>
              <w:keepNext/>
              <w:keepLines/>
              <w:spacing w:after="0" w:line="240" w:lineRule="auto"/>
              <w:jc w:val="right"/>
            </w:pPr>
            <w:r>
              <w:rPr>
                <w:sz w:val="18"/>
              </w:rPr>
              <w:t>111.483,89</w:t>
            </w:r>
          </w:p>
        </w:tc>
        <w:tc>
          <w:tcPr>
            <w:tcW w:w="700" w:type="dxa"/>
            <w:tcMar>
              <w:top w:w="0" w:type="dxa"/>
              <w:bottom w:w="0" w:type="dxa"/>
            </w:tcMar>
            <w:vAlign w:val="center"/>
          </w:tcPr>
          <w:p w14:paraId="4FBA8FF9" w14:textId="77777777" w:rsidR="009269C0" w:rsidRDefault="00000000">
            <w:pPr>
              <w:keepNext/>
              <w:keepLines/>
              <w:spacing w:after="0" w:line="240" w:lineRule="auto"/>
              <w:jc w:val="right"/>
            </w:pPr>
            <w:r>
              <w:rPr>
                <w:sz w:val="18"/>
              </w:rPr>
              <w:t>&gt;&gt;100</w:t>
            </w:r>
          </w:p>
        </w:tc>
      </w:tr>
    </w:tbl>
    <w:p w14:paraId="75A61240" w14:textId="77777777" w:rsidR="009269C0" w:rsidRDefault="009269C0">
      <w:pPr>
        <w:spacing w:after="0"/>
      </w:pPr>
    </w:p>
    <w:p w14:paraId="7F172160" w14:textId="77777777" w:rsidR="009269C0" w:rsidRDefault="00000000">
      <w:pPr>
        <w:spacing w:line="240" w:lineRule="auto"/>
        <w:jc w:val="both"/>
      </w:pPr>
      <w:r>
        <w:t xml:space="preserve">Subvencije kreditnim i financijskim institucijama, trgovačkim društvima, zadrugama, poljoprivrednicima i obrtnicima izvan javnog sektora ostvarene su u iznosu od 111.483,89 eura, što se odnosi na subvenciju za kapitalne investicije trgovačkim društvima kojima je osnivač Općina </w:t>
      </w:r>
      <w:proofErr w:type="spellStart"/>
      <w:r>
        <w:t>Tinjan</w:t>
      </w:r>
      <w:proofErr w:type="spellEnd"/>
      <w:r>
        <w:t>.</w:t>
      </w:r>
    </w:p>
    <w:p w14:paraId="35685118" w14:textId="77777777" w:rsidR="009269C0" w:rsidRDefault="009269C0"/>
    <w:p w14:paraId="7DFBCAE0" w14:textId="77777777" w:rsidR="009269C0"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2A4326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A2E651"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6A7D7A"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C992B"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6CFD62"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416EB2"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407131" w14:textId="77777777" w:rsidR="009269C0" w:rsidRDefault="00000000">
            <w:pPr>
              <w:keepNext/>
              <w:keepLines/>
              <w:spacing w:after="0" w:line="240" w:lineRule="auto"/>
              <w:jc w:val="center"/>
            </w:pPr>
            <w:r>
              <w:rPr>
                <w:b/>
                <w:sz w:val="18"/>
              </w:rPr>
              <w:t>Indeks (%)</w:t>
            </w:r>
          </w:p>
        </w:tc>
      </w:tr>
      <w:tr w:rsidR="009269C0" w14:paraId="02543574" w14:textId="77777777">
        <w:tblPrEx>
          <w:tblCellMar>
            <w:top w:w="0" w:type="dxa"/>
            <w:bottom w:w="0" w:type="dxa"/>
          </w:tblCellMar>
        </w:tblPrEx>
        <w:trPr>
          <w:cantSplit/>
          <w:trHeight w:val="560"/>
        </w:trPr>
        <w:tc>
          <w:tcPr>
            <w:tcW w:w="700" w:type="dxa"/>
            <w:tcMar>
              <w:top w:w="0" w:type="dxa"/>
              <w:bottom w:w="0" w:type="dxa"/>
            </w:tcMar>
            <w:vAlign w:val="center"/>
          </w:tcPr>
          <w:p w14:paraId="6D1815AB" w14:textId="77777777" w:rsidR="009269C0" w:rsidRDefault="00000000">
            <w:pPr>
              <w:keepNext/>
              <w:keepLines/>
              <w:spacing w:after="0" w:line="240" w:lineRule="auto"/>
            </w:pPr>
            <w:r>
              <w:rPr>
                <w:sz w:val="18"/>
              </w:rPr>
              <w:t>363</w:t>
            </w:r>
          </w:p>
        </w:tc>
        <w:tc>
          <w:tcPr>
            <w:tcW w:w="3180" w:type="dxa"/>
            <w:tcMar>
              <w:top w:w="0" w:type="dxa"/>
              <w:bottom w:w="0" w:type="dxa"/>
            </w:tcMar>
            <w:vAlign w:val="center"/>
          </w:tcPr>
          <w:p w14:paraId="50042380" w14:textId="77777777" w:rsidR="009269C0"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49D2D25F" w14:textId="77777777" w:rsidR="009269C0" w:rsidRDefault="00000000">
            <w:pPr>
              <w:keepNext/>
              <w:keepLines/>
              <w:spacing w:after="0" w:line="240" w:lineRule="auto"/>
            </w:pPr>
            <w:r>
              <w:rPr>
                <w:sz w:val="18"/>
              </w:rPr>
              <w:t>363</w:t>
            </w:r>
          </w:p>
        </w:tc>
        <w:tc>
          <w:tcPr>
            <w:tcW w:w="1860" w:type="dxa"/>
            <w:tcMar>
              <w:top w:w="0" w:type="dxa"/>
              <w:bottom w:w="0" w:type="dxa"/>
            </w:tcMar>
            <w:vAlign w:val="center"/>
          </w:tcPr>
          <w:p w14:paraId="37DD5D6E" w14:textId="77777777" w:rsidR="009269C0" w:rsidRDefault="00000000">
            <w:pPr>
              <w:keepNext/>
              <w:keepLines/>
              <w:spacing w:after="0" w:line="240" w:lineRule="auto"/>
              <w:jc w:val="right"/>
            </w:pPr>
            <w:r>
              <w:rPr>
                <w:sz w:val="18"/>
              </w:rPr>
              <w:t>229.029,86</w:t>
            </w:r>
          </w:p>
        </w:tc>
        <w:tc>
          <w:tcPr>
            <w:tcW w:w="1860" w:type="dxa"/>
            <w:tcMar>
              <w:top w:w="0" w:type="dxa"/>
              <w:bottom w:w="0" w:type="dxa"/>
            </w:tcMar>
            <w:vAlign w:val="center"/>
          </w:tcPr>
          <w:p w14:paraId="42561369" w14:textId="77777777" w:rsidR="009269C0" w:rsidRDefault="00000000">
            <w:pPr>
              <w:keepNext/>
              <w:keepLines/>
              <w:spacing w:after="0" w:line="240" w:lineRule="auto"/>
              <w:jc w:val="right"/>
            </w:pPr>
            <w:r>
              <w:rPr>
                <w:sz w:val="18"/>
              </w:rPr>
              <w:t>305.264,88</w:t>
            </w:r>
          </w:p>
        </w:tc>
        <w:tc>
          <w:tcPr>
            <w:tcW w:w="700" w:type="dxa"/>
            <w:tcMar>
              <w:top w:w="0" w:type="dxa"/>
              <w:bottom w:w="0" w:type="dxa"/>
            </w:tcMar>
            <w:vAlign w:val="center"/>
          </w:tcPr>
          <w:p w14:paraId="7B3383CC" w14:textId="77777777" w:rsidR="009269C0" w:rsidRDefault="00000000">
            <w:pPr>
              <w:keepNext/>
              <w:keepLines/>
              <w:spacing w:after="0" w:line="240" w:lineRule="auto"/>
              <w:jc w:val="right"/>
            </w:pPr>
            <w:r>
              <w:rPr>
                <w:sz w:val="18"/>
              </w:rPr>
              <w:t>133,3</w:t>
            </w:r>
          </w:p>
        </w:tc>
      </w:tr>
    </w:tbl>
    <w:p w14:paraId="73935EDB" w14:textId="77777777" w:rsidR="009269C0" w:rsidRDefault="009269C0">
      <w:pPr>
        <w:spacing w:after="0"/>
      </w:pPr>
    </w:p>
    <w:p w14:paraId="77AAEED8" w14:textId="77777777" w:rsidR="009269C0" w:rsidRDefault="00000000">
      <w:pPr>
        <w:spacing w:line="240" w:lineRule="auto"/>
        <w:jc w:val="both"/>
      </w:pPr>
      <w:r>
        <w:t xml:space="preserve">Pomoći drugom proračunu i izvanproračunskim korisnicima ostvareni su u iznosu od 305.264,88 eura, što je za 33,3% više u odnosu na isto razdoblje prethodne godine. Razlog povećanju su povećanje plaća u Dječjem vrtiću na području Općine </w:t>
      </w:r>
      <w:proofErr w:type="spellStart"/>
      <w:r>
        <w:t>Tinjan</w:t>
      </w:r>
      <w:proofErr w:type="spellEnd"/>
      <w:r>
        <w:t xml:space="preserve"> i povećanje plaća za javno vatrogasnu postrojbu Pazin, čiji je osnivač Grad Pazin.</w:t>
      </w:r>
    </w:p>
    <w:p w14:paraId="7399CBFA" w14:textId="77777777" w:rsidR="009269C0" w:rsidRDefault="009269C0"/>
    <w:p w14:paraId="6E332B3B" w14:textId="77777777" w:rsidR="009269C0"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357934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0E688D"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CDB547"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B02647"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9688E"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ECE59B"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3132DD" w14:textId="77777777" w:rsidR="009269C0" w:rsidRDefault="00000000">
            <w:pPr>
              <w:keepNext/>
              <w:keepLines/>
              <w:spacing w:after="0" w:line="240" w:lineRule="auto"/>
              <w:jc w:val="center"/>
            </w:pPr>
            <w:r>
              <w:rPr>
                <w:b/>
                <w:sz w:val="18"/>
              </w:rPr>
              <w:t>Indeks (%)</w:t>
            </w:r>
          </w:p>
        </w:tc>
      </w:tr>
      <w:tr w:rsidR="009269C0" w14:paraId="5833CAF6" w14:textId="77777777">
        <w:tblPrEx>
          <w:tblCellMar>
            <w:top w:w="0" w:type="dxa"/>
            <w:bottom w:w="0" w:type="dxa"/>
          </w:tblCellMar>
        </w:tblPrEx>
        <w:trPr>
          <w:cantSplit/>
          <w:trHeight w:val="560"/>
        </w:trPr>
        <w:tc>
          <w:tcPr>
            <w:tcW w:w="700" w:type="dxa"/>
            <w:tcMar>
              <w:top w:w="0" w:type="dxa"/>
              <w:bottom w:w="0" w:type="dxa"/>
            </w:tcMar>
            <w:vAlign w:val="center"/>
          </w:tcPr>
          <w:p w14:paraId="05CDF88B" w14:textId="77777777" w:rsidR="009269C0" w:rsidRDefault="00000000">
            <w:pPr>
              <w:keepNext/>
              <w:keepLines/>
              <w:spacing w:after="0" w:line="240" w:lineRule="auto"/>
            </w:pPr>
            <w:r>
              <w:rPr>
                <w:sz w:val="18"/>
              </w:rPr>
              <w:t>381</w:t>
            </w:r>
          </w:p>
        </w:tc>
        <w:tc>
          <w:tcPr>
            <w:tcW w:w="3180" w:type="dxa"/>
            <w:tcMar>
              <w:top w:w="0" w:type="dxa"/>
              <w:bottom w:w="0" w:type="dxa"/>
            </w:tcMar>
            <w:vAlign w:val="center"/>
          </w:tcPr>
          <w:p w14:paraId="49C4939C" w14:textId="77777777" w:rsidR="009269C0"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155F9A78" w14:textId="77777777" w:rsidR="009269C0" w:rsidRDefault="00000000">
            <w:pPr>
              <w:keepNext/>
              <w:keepLines/>
              <w:spacing w:after="0" w:line="240" w:lineRule="auto"/>
            </w:pPr>
            <w:r>
              <w:rPr>
                <w:sz w:val="18"/>
              </w:rPr>
              <w:t>381</w:t>
            </w:r>
          </w:p>
        </w:tc>
        <w:tc>
          <w:tcPr>
            <w:tcW w:w="1860" w:type="dxa"/>
            <w:tcMar>
              <w:top w:w="0" w:type="dxa"/>
              <w:bottom w:w="0" w:type="dxa"/>
            </w:tcMar>
            <w:vAlign w:val="center"/>
          </w:tcPr>
          <w:p w14:paraId="0FB5BC6C" w14:textId="77777777" w:rsidR="009269C0" w:rsidRDefault="00000000">
            <w:pPr>
              <w:keepNext/>
              <w:keepLines/>
              <w:spacing w:after="0" w:line="240" w:lineRule="auto"/>
              <w:jc w:val="right"/>
            </w:pPr>
            <w:r>
              <w:rPr>
                <w:sz w:val="18"/>
              </w:rPr>
              <w:t>48.840,85</w:t>
            </w:r>
          </w:p>
        </w:tc>
        <w:tc>
          <w:tcPr>
            <w:tcW w:w="1860" w:type="dxa"/>
            <w:tcMar>
              <w:top w:w="0" w:type="dxa"/>
              <w:bottom w:w="0" w:type="dxa"/>
            </w:tcMar>
            <w:vAlign w:val="center"/>
          </w:tcPr>
          <w:p w14:paraId="4A0A3202" w14:textId="77777777" w:rsidR="009269C0" w:rsidRDefault="00000000">
            <w:pPr>
              <w:keepNext/>
              <w:keepLines/>
              <w:spacing w:after="0" w:line="240" w:lineRule="auto"/>
              <w:jc w:val="right"/>
            </w:pPr>
            <w:r>
              <w:rPr>
                <w:sz w:val="18"/>
              </w:rPr>
              <w:t>75.653,53</w:t>
            </w:r>
          </w:p>
        </w:tc>
        <w:tc>
          <w:tcPr>
            <w:tcW w:w="700" w:type="dxa"/>
            <w:tcMar>
              <w:top w:w="0" w:type="dxa"/>
              <w:bottom w:w="0" w:type="dxa"/>
            </w:tcMar>
            <w:vAlign w:val="center"/>
          </w:tcPr>
          <w:p w14:paraId="042D481A" w14:textId="77777777" w:rsidR="009269C0" w:rsidRDefault="00000000">
            <w:pPr>
              <w:keepNext/>
              <w:keepLines/>
              <w:spacing w:after="0" w:line="240" w:lineRule="auto"/>
              <w:jc w:val="right"/>
            </w:pPr>
            <w:r>
              <w:rPr>
                <w:sz w:val="18"/>
              </w:rPr>
              <w:t>154,9</w:t>
            </w:r>
          </w:p>
        </w:tc>
      </w:tr>
    </w:tbl>
    <w:p w14:paraId="55FE1E13" w14:textId="77777777" w:rsidR="009269C0" w:rsidRDefault="009269C0">
      <w:pPr>
        <w:spacing w:after="0"/>
      </w:pPr>
    </w:p>
    <w:p w14:paraId="10D4AF86" w14:textId="77777777" w:rsidR="009269C0" w:rsidRDefault="00000000">
      <w:pPr>
        <w:spacing w:line="240" w:lineRule="auto"/>
        <w:jc w:val="both"/>
      </w:pPr>
      <w:r>
        <w:lastRenderedPageBreak/>
        <w:t xml:space="preserve">Tekuće donacije ostvarene su u iznosu od 75.653,53 eura što je za 54,9% više u odnosu na isto razdoblje prošle godine, a razlog tome su dane donacije Vatrogasnoj zajednici Istarske Županije, i Osnovnoj školi na području Općine </w:t>
      </w:r>
      <w:proofErr w:type="spellStart"/>
      <w:r>
        <w:t>Tinjan</w:t>
      </w:r>
      <w:proofErr w:type="spellEnd"/>
      <w:r>
        <w:t>.</w:t>
      </w:r>
    </w:p>
    <w:p w14:paraId="4A5E5B61" w14:textId="77777777" w:rsidR="009269C0" w:rsidRDefault="009269C0"/>
    <w:p w14:paraId="20E47ED1" w14:textId="77777777" w:rsidR="009269C0"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28EE41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E1E4F3"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1933FE"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EC588A"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0D619F"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671982"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4A56BB" w14:textId="77777777" w:rsidR="009269C0" w:rsidRDefault="00000000">
            <w:pPr>
              <w:keepNext/>
              <w:keepLines/>
              <w:spacing w:after="0" w:line="240" w:lineRule="auto"/>
              <w:jc w:val="center"/>
            </w:pPr>
            <w:r>
              <w:rPr>
                <w:b/>
                <w:sz w:val="18"/>
              </w:rPr>
              <w:t>Indeks (%)</w:t>
            </w:r>
          </w:p>
        </w:tc>
      </w:tr>
      <w:tr w:rsidR="009269C0" w14:paraId="799F3946" w14:textId="77777777">
        <w:tblPrEx>
          <w:tblCellMar>
            <w:top w:w="0" w:type="dxa"/>
            <w:bottom w:w="0" w:type="dxa"/>
          </w:tblCellMar>
        </w:tblPrEx>
        <w:trPr>
          <w:cantSplit/>
          <w:trHeight w:val="560"/>
        </w:trPr>
        <w:tc>
          <w:tcPr>
            <w:tcW w:w="700" w:type="dxa"/>
            <w:tcMar>
              <w:top w:w="0" w:type="dxa"/>
              <w:bottom w:w="0" w:type="dxa"/>
            </w:tcMar>
            <w:vAlign w:val="center"/>
          </w:tcPr>
          <w:p w14:paraId="5748A96E" w14:textId="77777777" w:rsidR="009269C0" w:rsidRDefault="00000000">
            <w:pPr>
              <w:keepNext/>
              <w:keepLines/>
              <w:spacing w:after="0" w:line="240" w:lineRule="auto"/>
            </w:pPr>
            <w:r>
              <w:rPr>
                <w:sz w:val="18"/>
              </w:rPr>
              <w:t>711</w:t>
            </w:r>
          </w:p>
        </w:tc>
        <w:tc>
          <w:tcPr>
            <w:tcW w:w="3180" w:type="dxa"/>
            <w:tcMar>
              <w:top w:w="0" w:type="dxa"/>
              <w:bottom w:w="0" w:type="dxa"/>
            </w:tcMar>
            <w:vAlign w:val="center"/>
          </w:tcPr>
          <w:p w14:paraId="1998C19F" w14:textId="77777777" w:rsidR="009269C0" w:rsidRDefault="00000000">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1448B061" w14:textId="77777777" w:rsidR="009269C0" w:rsidRDefault="00000000">
            <w:pPr>
              <w:keepNext/>
              <w:keepLines/>
              <w:spacing w:after="0" w:line="240" w:lineRule="auto"/>
            </w:pPr>
            <w:r>
              <w:rPr>
                <w:sz w:val="18"/>
              </w:rPr>
              <w:t>711</w:t>
            </w:r>
          </w:p>
        </w:tc>
        <w:tc>
          <w:tcPr>
            <w:tcW w:w="1860" w:type="dxa"/>
            <w:tcMar>
              <w:top w:w="0" w:type="dxa"/>
              <w:bottom w:w="0" w:type="dxa"/>
            </w:tcMar>
            <w:vAlign w:val="center"/>
          </w:tcPr>
          <w:p w14:paraId="43A334E2" w14:textId="77777777" w:rsidR="009269C0" w:rsidRDefault="00000000">
            <w:pPr>
              <w:keepNext/>
              <w:keepLines/>
              <w:spacing w:after="0" w:line="240" w:lineRule="auto"/>
              <w:jc w:val="right"/>
            </w:pPr>
            <w:r>
              <w:rPr>
                <w:sz w:val="18"/>
              </w:rPr>
              <w:t>2.180,68</w:t>
            </w:r>
          </w:p>
        </w:tc>
        <w:tc>
          <w:tcPr>
            <w:tcW w:w="1860" w:type="dxa"/>
            <w:tcMar>
              <w:top w:w="0" w:type="dxa"/>
              <w:bottom w:w="0" w:type="dxa"/>
            </w:tcMar>
            <w:vAlign w:val="center"/>
          </w:tcPr>
          <w:p w14:paraId="67308C0E" w14:textId="77777777" w:rsidR="009269C0" w:rsidRDefault="00000000">
            <w:pPr>
              <w:keepNext/>
              <w:keepLines/>
              <w:spacing w:after="0" w:line="240" w:lineRule="auto"/>
              <w:jc w:val="right"/>
            </w:pPr>
            <w:r>
              <w:rPr>
                <w:sz w:val="18"/>
              </w:rPr>
              <w:t>45.570,00</w:t>
            </w:r>
          </w:p>
        </w:tc>
        <w:tc>
          <w:tcPr>
            <w:tcW w:w="700" w:type="dxa"/>
            <w:tcMar>
              <w:top w:w="0" w:type="dxa"/>
              <w:bottom w:w="0" w:type="dxa"/>
            </w:tcMar>
            <w:vAlign w:val="center"/>
          </w:tcPr>
          <w:p w14:paraId="4C79D9A4" w14:textId="77777777" w:rsidR="009269C0" w:rsidRDefault="00000000">
            <w:pPr>
              <w:keepNext/>
              <w:keepLines/>
              <w:spacing w:after="0" w:line="240" w:lineRule="auto"/>
              <w:jc w:val="right"/>
            </w:pPr>
            <w:r>
              <w:rPr>
                <w:sz w:val="18"/>
              </w:rPr>
              <w:t>2089,7</w:t>
            </w:r>
          </w:p>
        </w:tc>
      </w:tr>
    </w:tbl>
    <w:p w14:paraId="6C652451" w14:textId="77777777" w:rsidR="009269C0" w:rsidRDefault="009269C0">
      <w:pPr>
        <w:spacing w:after="0"/>
      </w:pPr>
    </w:p>
    <w:p w14:paraId="7F2F3B39" w14:textId="77777777" w:rsidR="009269C0" w:rsidRDefault="00000000">
      <w:pPr>
        <w:spacing w:line="240" w:lineRule="auto"/>
        <w:jc w:val="both"/>
      </w:pPr>
      <w:r>
        <w:t>- Prihodi od prodaje materijalne imovine- prirodnih bogatstva ostvareni su u visini od 45.570,00 eura, a razlog povećanja u odnosu na isto razdoblje prethodne godine je prodaja nekretnina u vlasništvu Općine putim javnih natječaja.</w:t>
      </w:r>
    </w:p>
    <w:p w14:paraId="51FFE707" w14:textId="77777777" w:rsidR="009269C0" w:rsidRDefault="009269C0"/>
    <w:p w14:paraId="614ED1FB" w14:textId="77777777" w:rsidR="009269C0"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02BA7E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DA6D3E"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9D9BF3"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746424"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3268AA"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E5E77C"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EE5833" w14:textId="77777777" w:rsidR="009269C0" w:rsidRDefault="00000000">
            <w:pPr>
              <w:keepNext/>
              <w:keepLines/>
              <w:spacing w:after="0" w:line="240" w:lineRule="auto"/>
              <w:jc w:val="center"/>
            </w:pPr>
            <w:r>
              <w:rPr>
                <w:b/>
                <w:sz w:val="18"/>
              </w:rPr>
              <w:t>Indeks (%)</w:t>
            </w:r>
          </w:p>
        </w:tc>
      </w:tr>
      <w:tr w:rsidR="009269C0" w14:paraId="771D3EC9" w14:textId="77777777">
        <w:tblPrEx>
          <w:tblCellMar>
            <w:top w:w="0" w:type="dxa"/>
            <w:bottom w:w="0" w:type="dxa"/>
          </w:tblCellMar>
        </w:tblPrEx>
        <w:trPr>
          <w:cantSplit/>
          <w:trHeight w:val="560"/>
        </w:trPr>
        <w:tc>
          <w:tcPr>
            <w:tcW w:w="700" w:type="dxa"/>
            <w:tcMar>
              <w:top w:w="0" w:type="dxa"/>
              <w:bottom w:w="0" w:type="dxa"/>
            </w:tcMar>
            <w:vAlign w:val="center"/>
          </w:tcPr>
          <w:p w14:paraId="4783D8A6" w14:textId="77777777" w:rsidR="009269C0" w:rsidRDefault="00000000">
            <w:pPr>
              <w:keepNext/>
              <w:keepLines/>
              <w:spacing w:after="0" w:line="240" w:lineRule="auto"/>
            </w:pPr>
            <w:r>
              <w:rPr>
                <w:sz w:val="18"/>
              </w:rPr>
              <w:t>411</w:t>
            </w:r>
          </w:p>
        </w:tc>
        <w:tc>
          <w:tcPr>
            <w:tcW w:w="3180" w:type="dxa"/>
            <w:tcMar>
              <w:top w:w="0" w:type="dxa"/>
              <w:bottom w:w="0" w:type="dxa"/>
            </w:tcMar>
            <w:vAlign w:val="center"/>
          </w:tcPr>
          <w:p w14:paraId="281B3D2A" w14:textId="77777777" w:rsidR="009269C0" w:rsidRDefault="00000000">
            <w:pPr>
              <w:keepNext/>
              <w:keepLines/>
              <w:spacing w:after="0" w:line="240" w:lineRule="auto"/>
            </w:pPr>
            <w:r>
              <w:rPr>
                <w:sz w:val="18"/>
              </w:rPr>
              <w:t>Materijalna imovina - prirodna bogatstva (šifre 4111 do 4113)</w:t>
            </w:r>
          </w:p>
        </w:tc>
        <w:tc>
          <w:tcPr>
            <w:tcW w:w="700" w:type="dxa"/>
            <w:tcMar>
              <w:top w:w="0" w:type="dxa"/>
              <w:bottom w:w="0" w:type="dxa"/>
            </w:tcMar>
            <w:vAlign w:val="center"/>
          </w:tcPr>
          <w:p w14:paraId="38062B1B" w14:textId="77777777" w:rsidR="009269C0" w:rsidRDefault="00000000">
            <w:pPr>
              <w:keepNext/>
              <w:keepLines/>
              <w:spacing w:after="0" w:line="240" w:lineRule="auto"/>
            </w:pPr>
            <w:r>
              <w:rPr>
                <w:sz w:val="18"/>
              </w:rPr>
              <w:t>411</w:t>
            </w:r>
          </w:p>
        </w:tc>
        <w:tc>
          <w:tcPr>
            <w:tcW w:w="1860" w:type="dxa"/>
            <w:tcMar>
              <w:top w:w="0" w:type="dxa"/>
              <w:bottom w:w="0" w:type="dxa"/>
            </w:tcMar>
            <w:vAlign w:val="center"/>
          </w:tcPr>
          <w:p w14:paraId="5FB08326" w14:textId="77777777" w:rsidR="009269C0" w:rsidRDefault="00000000">
            <w:pPr>
              <w:keepNext/>
              <w:keepLines/>
              <w:spacing w:after="0" w:line="240" w:lineRule="auto"/>
              <w:jc w:val="right"/>
            </w:pPr>
            <w:r>
              <w:rPr>
                <w:sz w:val="18"/>
              </w:rPr>
              <w:t>0,00</w:t>
            </w:r>
          </w:p>
        </w:tc>
        <w:tc>
          <w:tcPr>
            <w:tcW w:w="1860" w:type="dxa"/>
            <w:tcMar>
              <w:top w:w="0" w:type="dxa"/>
              <w:bottom w:w="0" w:type="dxa"/>
            </w:tcMar>
            <w:vAlign w:val="center"/>
          </w:tcPr>
          <w:p w14:paraId="11A42891" w14:textId="77777777" w:rsidR="009269C0" w:rsidRDefault="00000000">
            <w:pPr>
              <w:keepNext/>
              <w:keepLines/>
              <w:spacing w:after="0" w:line="240" w:lineRule="auto"/>
              <w:jc w:val="right"/>
            </w:pPr>
            <w:r>
              <w:rPr>
                <w:sz w:val="18"/>
              </w:rPr>
              <w:t>10.947,00</w:t>
            </w:r>
          </w:p>
        </w:tc>
        <w:tc>
          <w:tcPr>
            <w:tcW w:w="700" w:type="dxa"/>
            <w:tcMar>
              <w:top w:w="0" w:type="dxa"/>
              <w:bottom w:w="0" w:type="dxa"/>
            </w:tcMar>
            <w:vAlign w:val="center"/>
          </w:tcPr>
          <w:p w14:paraId="61B4FB65" w14:textId="77777777" w:rsidR="009269C0" w:rsidRDefault="00000000">
            <w:pPr>
              <w:keepNext/>
              <w:keepLines/>
              <w:spacing w:after="0" w:line="240" w:lineRule="auto"/>
              <w:jc w:val="right"/>
            </w:pPr>
            <w:r>
              <w:rPr>
                <w:sz w:val="18"/>
              </w:rPr>
              <w:t>-</w:t>
            </w:r>
          </w:p>
        </w:tc>
      </w:tr>
    </w:tbl>
    <w:p w14:paraId="37FE90D8" w14:textId="77777777" w:rsidR="009269C0" w:rsidRDefault="009269C0">
      <w:pPr>
        <w:spacing w:after="0"/>
      </w:pPr>
    </w:p>
    <w:p w14:paraId="3C0770A2" w14:textId="77777777" w:rsidR="009269C0" w:rsidRDefault="00000000">
      <w:pPr>
        <w:spacing w:line="240" w:lineRule="auto"/>
        <w:jc w:val="both"/>
      </w:pPr>
      <w:r>
        <w:t xml:space="preserve">Materijalna imovina – prirodna bogatstva ostvarena su u iznosu od 10.947,00 eura, što se odnosi na kupnju zemljišta od fizičkih osoba za izgradnju zaobilaznice u </w:t>
      </w:r>
      <w:proofErr w:type="spellStart"/>
      <w:r>
        <w:t>Kringi</w:t>
      </w:r>
      <w:proofErr w:type="spellEnd"/>
      <w:r>
        <w:t>.</w:t>
      </w:r>
    </w:p>
    <w:p w14:paraId="0478B93E" w14:textId="77777777" w:rsidR="009269C0" w:rsidRDefault="009269C0"/>
    <w:p w14:paraId="26673074" w14:textId="77777777" w:rsidR="009269C0"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610F65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A9D11"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288798"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693B5"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BD5726"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C54930"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57DFE" w14:textId="77777777" w:rsidR="009269C0" w:rsidRDefault="00000000">
            <w:pPr>
              <w:keepNext/>
              <w:keepLines/>
              <w:spacing w:after="0" w:line="240" w:lineRule="auto"/>
              <w:jc w:val="center"/>
            </w:pPr>
            <w:r>
              <w:rPr>
                <w:b/>
                <w:sz w:val="18"/>
              </w:rPr>
              <w:t>Indeks (%)</w:t>
            </w:r>
          </w:p>
        </w:tc>
      </w:tr>
      <w:tr w:rsidR="009269C0" w14:paraId="4B965B16" w14:textId="77777777">
        <w:tblPrEx>
          <w:tblCellMar>
            <w:top w:w="0" w:type="dxa"/>
            <w:bottom w:w="0" w:type="dxa"/>
          </w:tblCellMar>
        </w:tblPrEx>
        <w:trPr>
          <w:cantSplit/>
          <w:trHeight w:val="560"/>
        </w:trPr>
        <w:tc>
          <w:tcPr>
            <w:tcW w:w="700" w:type="dxa"/>
            <w:tcMar>
              <w:top w:w="0" w:type="dxa"/>
              <w:bottom w:w="0" w:type="dxa"/>
            </w:tcMar>
            <w:vAlign w:val="center"/>
          </w:tcPr>
          <w:p w14:paraId="26A35273" w14:textId="77777777" w:rsidR="009269C0" w:rsidRDefault="00000000">
            <w:pPr>
              <w:keepNext/>
              <w:keepLines/>
              <w:spacing w:after="0" w:line="240" w:lineRule="auto"/>
            </w:pPr>
            <w:r>
              <w:rPr>
                <w:sz w:val="18"/>
              </w:rPr>
              <w:t>421</w:t>
            </w:r>
          </w:p>
        </w:tc>
        <w:tc>
          <w:tcPr>
            <w:tcW w:w="3180" w:type="dxa"/>
            <w:tcMar>
              <w:top w:w="0" w:type="dxa"/>
              <w:bottom w:w="0" w:type="dxa"/>
            </w:tcMar>
            <w:vAlign w:val="center"/>
          </w:tcPr>
          <w:p w14:paraId="629ED340" w14:textId="77777777" w:rsidR="009269C0"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021B376A" w14:textId="77777777" w:rsidR="009269C0" w:rsidRDefault="00000000">
            <w:pPr>
              <w:keepNext/>
              <w:keepLines/>
              <w:spacing w:after="0" w:line="240" w:lineRule="auto"/>
            </w:pPr>
            <w:r>
              <w:rPr>
                <w:sz w:val="18"/>
              </w:rPr>
              <w:t>421</w:t>
            </w:r>
          </w:p>
        </w:tc>
        <w:tc>
          <w:tcPr>
            <w:tcW w:w="1860" w:type="dxa"/>
            <w:tcMar>
              <w:top w:w="0" w:type="dxa"/>
              <w:bottom w:w="0" w:type="dxa"/>
            </w:tcMar>
            <w:vAlign w:val="center"/>
          </w:tcPr>
          <w:p w14:paraId="692985F8" w14:textId="77777777" w:rsidR="009269C0" w:rsidRDefault="00000000">
            <w:pPr>
              <w:keepNext/>
              <w:keepLines/>
              <w:spacing w:after="0" w:line="240" w:lineRule="auto"/>
              <w:jc w:val="right"/>
            </w:pPr>
            <w:r>
              <w:rPr>
                <w:sz w:val="18"/>
              </w:rPr>
              <w:t>90.641,94</w:t>
            </w:r>
          </w:p>
        </w:tc>
        <w:tc>
          <w:tcPr>
            <w:tcW w:w="1860" w:type="dxa"/>
            <w:tcMar>
              <w:top w:w="0" w:type="dxa"/>
              <w:bottom w:w="0" w:type="dxa"/>
            </w:tcMar>
            <w:vAlign w:val="center"/>
          </w:tcPr>
          <w:p w14:paraId="7905583B" w14:textId="77777777" w:rsidR="009269C0" w:rsidRDefault="00000000">
            <w:pPr>
              <w:keepNext/>
              <w:keepLines/>
              <w:spacing w:after="0" w:line="240" w:lineRule="auto"/>
              <w:jc w:val="right"/>
            </w:pPr>
            <w:r>
              <w:rPr>
                <w:sz w:val="18"/>
              </w:rPr>
              <w:t>486.507,87</w:t>
            </w:r>
          </w:p>
        </w:tc>
        <w:tc>
          <w:tcPr>
            <w:tcW w:w="700" w:type="dxa"/>
            <w:tcMar>
              <w:top w:w="0" w:type="dxa"/>
              <w:bottom w:w="0" w:type="dxa"/>
            </w:tcMar>
            <w:vAlign w:val="center"/>
          </w:tcPr>
          <w:p w14:paraId="5D16B7CF" w14:textId="77777777" w:rsidR="009269C0" w:rsidRDefault="00000000">
            <w:pPr>
              <w:keepNext/>
              <w:keepLines/>
              <w:spacing w:after="0" w:line="240" w:lineRule="auto"/>
              <w:jc w:val="right"/>
            </w:pPr>
            <w:r>
              <w:rPr>
                <w:sz w:val="18"/>
              </w:rPr>
              <w:t>536,7</w:t>
            </w:r>
          </w:p>
        </w:tc>
      </w:tr>
    </w:tbl>
    <w:p w14:paraId="6231417E" w14:textId="77777777" w:rsidR="009269C0" w:rsidRDefault="009269C0">
      <w:pPr>
        <w:spacing w:after="0"/>
      </w:pPr>
    </w:p>
    <w:p w14:paraId="16AA6B33" w14:textId="77777777" w:rsidR="009269C0" w:rsidRDefault="00000000">
      <w:pPr>
        <w:spacing w:line="240" w:lineRule="auto"/>
        <w:jc w:val="both"/>
      </w:pPr>
      <w:r>
        <w:t xml:space="preserve">Građevinski objekti ostvareni su u visini od 486.507,87 eura što je za 436,7% više u odnosu na isto razdoblje prethodne godine a razlog povećanju odnosi se na veliki projekt asfaltiranja ceste </w:t>
      </w:r>
      <w:proofErr w:type="spellStart"/>
      <w:r>
        <w:t>Žužići</w:t>
      </w:r>
      <w:proofErr w:type="spellEnd"/>
      <w:r>
        <w:t xml:space="preserve"> - </w:t>
      </w:r>
      <w:proofErr w:type="spellStart"/>
      <w:r>
        <w:t>Milohanići</w:t>
      </w:r>
      <w:proofErr w:type="spellEnd"/>
      <w:r>
        <w:t xml:space="preserve">  te na rekonstrukciju zgrade u Vlasništvu Općine, stara škola u </w:t>
      </w:r>
      <w:proofErr w:type="spellStart"/>
      <w:r>
        <w:t>Muntrilju</w:t>
      </w:r>
      <w:proofErr w:type="spellEnd"/>
      <w:r>
        <w:t xml:space="preserve"> te ulaganje u izgradnju arhive za potrebe Općine </w:t>
      </w:r>
      <w:proofErr w:type="spellStart"/>
      <w:r>
        <w:t>Tinjan</w:t>
      </w:r>
      <w:proofErr w:type="spellEnd"/>
      <w:r>
        <w:t>.</w:t>
      </w:r>
    </w:p>
    <w:p w14:paraId="22DF30A3" w14:textId="77777777" w:rsidR="009269C0" w:rsidRDefault="009269C0"/>
    <w:p w14:paraId="67599E07" w14:textId="77777777" w:rsidR="009269C0"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60F6BE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1050F3"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FE7563"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A1B3A"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2345C1"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37D41A"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D0E53A" w14:textId="77777777" w:rsidR="009269C0" w:rsidRDefault="00000000">
            <w:pPr>
              <w:keepNext/>
              <w:keepLines/>
              <w:spacing w:after="0" w:line="240" w:lineRule="auto"/>
              <w:jc w:val="center"/>
            </w:pPr>
            <w:r>
              <w:rPr>
                <w:b/>
                <w:sz w:val="18"/>
              </w:rPr>
              <w:t>Indeks (%)</w:t>
            </w:r>
          </w:p>
        </w:tc>
      </w:tr>
      <w:tr w:rsidR="009269C0" w14:paraId="4C7FA71F" w14:textId="77777777">
        <w:tblPrEx>
          <w:tblCellMar>
            <w:top w:w="0" w:type="dxa"/>
            <w:bottom w:w="0" w:type="dxa"/>
          </w:tblCellMar>
        </w:tblPrEx>
        <w:trPr>
          <w:cantSplit/>
          <w:trHeight w:val="560"/>
        </w:trPr>
        <w:tc>
          <w:tcPr>
            <w:tcW w:w="700" w:type="dxa"/>
            <w:tcMar>
              <w:top w:w="0" w:type="dxa"/>
              <w:bottom w:w="0" w:type="dxa"/>
            </w:tcMar>
            <w:vAlign w:val="center"/>
          </w:tcPr>
          <w:p w14:paraId="74FB26A8" w14:textId="77777777" w:rsidR="009269C0" w:rsidRDefault="00000000">
            <w:pPr>
              <w:keepNext/>
              <w:keepLines/>
              <w:spacing w:after="0" w:line="240" w:lineRule="auto"/>
            </w:pPr>
            <w:r>
              <w:rPr>
                <w:sz w:val="18"/>
              </w:rPr>
              <w:t>451</w:t>
            </w:r>
          </w:p>
        </w:tc>
        <w:tc>
          <w:tcPr>
            <w:tcW w:w="3180" w:type="dxa"/>
            <w:tcMar>
              <w:top w:w="0" w:type="dxa"/>
              <w:bottom w:w="0" w:type="dxa"/>
            </w:tcMar>
            <w:vAlign w:val="center"/>
          </w:tcPr>
          <w:p w14:paraId="6206FFE1" w14:textId="77777777" w:rsidR="009269C0"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41933687" w14:textId="77777777" w:rsidR="009269C0" w:rsidRDefault="00000000">
            <w:pPr>
              <w:keepNext/>
              <w:keepLines/>
              <w:spacing w:after="0" w:line="240" w:lineRule="auto"/>
            </w:pPr>
            <w:r>
              <w:rPr>
                <w:sz w:val="18"/>
              </w:rPr>
              <w:t>451</w:t>
            </w:r>
          </w:p>
        </w:tc>
        <w:tc>
          <w:tcPr>
            <w:tcW w:w="1860" w:type="dxa"/>
            <w:tcMar>
              <w:top w:w="0" w:type="dxa"/>
              <w:bottom w:w="0" w:type="dxa"/>
            </w:tcMar>
            <w:vAlign w:val="center"/>
          </w:tcPr>
          <w:p w14:paraId="479FA013" w14:textId="77777777" w:rsidR="009269C0" w:rsidRDefault="00000000">
            <w:pPr>
              <w:keepNext/>
              <w:keepLines/>
              <w:spacing w:after="0" w:line="240" w:lineRule="auto"/>
              <w:jc w:val="right"/>
            </w:pPr>
            <w:r>
              <w:rPr>
                <w:sz w:val="18"/>
              </w:rPr>
              <w:t>0,00</w:t>
            </w:r>
          </w:p>
        </w:tc>
        <w:tc>
          <w:tcPr>
            <w:tcW w:w="1860" w:type="dxa"/>
            <w:tcMar>
              <w:top w:w="0" w:type="dxa"/>
              <w:bottom w:w="0" w:type="dxa"/>
            </w:tcMar>
            <w:vAlign w:val="center"/>
          </w:tcPr>
          <w:p w14:paraId="51CCDA3C" w14:textId="77777777" w:rsidR="009269C0" w:rsidRDefault="00000000">
            <w:pPr>
              <w:keepNext/>
              <w:keepLines/>
              <w:spacing w:after="0" w:line="240" w:lineRule="auto"/>
              <w:jc w:val="right"/>
            </w:pPr>
            <w:r>
              <w:rPr>
                <w:sz w:val="18"/>
              </w:rPr>
              <w:t>6.840,00</w:t>
            </w:r>
          </w:p>
        </w:tc>
        <w:tc>
          <w:tcPr>
            <w:tcW w:w="700" w:type="dxa"/>
            <w:tcMar>
              <w:top w:w="0" w:type="dxa"/>
              <w:bottom w:w="0" w:type="dxa"/>
            </w:tcMar>
            <w:vAlign w:val="center"/>
          </w:tcPr>
          <w:p w14:paraId="3ADD07C3" w14:textId="77777777" w:rsidR="009269C0" w:rsidRDefault="00000000">
            <w:pPr>
              <w:keepNext/>
              <w:keepLines/>
              <w:spacing w:after="0" w:line="240" w:lineRule="auto"/>
              <w:jc w:val="right"/>
            </w:pPr>
            <w:r>
              <w:rPr>
                <w:sz w:val="18"/>
              </w:rPr>
              <w:t>-</w:t>
            </w:r>
          </w:p>
        </w:tc>
      </w:tr>
    </w:tbl>
    <w:p w14:paraId="583B1D96" w14:textId="77777777" w:rsidR="009269C0" w:rsidRDefault="009269C0">
      <w:pPr>
        <w:spacing w:after="0"/>
      </w:pPr>
    </w:p>
    <w:p w14:paraId="6EEAEEB6" w14:textId="77777777" w:rsidR="009269C0" w:rsidRDefault="00000000">
      <w:pPr>
        <w:spacing w:line="240" w:lineRule="auto"/>
        <w:jc w:val="both"/>
      </w:pPr>
      <w:r>
        <w:t>Dodatna ulaganja na građevinskim objektima ostvareni su u visini od 6.840,00 eura, dok u istom razdoblju prethodne godine nisu ostvareni. Ostvarenje se odnosi na javnu nabavu za projekte koji će ove godine krenuti sa ostvarenjem.</w:t>
      </w:r>
    </w:p>
    <w:p w14:paraId="45D4B98C" w14:textId="77777777" w:rsidR="009269C0" w:rsidRDefault="009269C0"/>
    <w:p w14:paraId="0CDF0C66" w14:textId="77777777" w:rsidR="009269C0"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69C0" w14:paraId="4EEE87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EB650B"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90357B"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608B66"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D0881F" w14:textId="77777777" w:rsidR="009269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02CC5A" w14:textId="77777777" w:rsidR="009269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6704A" w14:textId="77777777" w:rsidR="009269C0" w:rsidRDefault="00000000">
            <w:pPr>
              <w:keepNext/>
              <w:keepLines/>
              <w:spacing w:after="0" w:line="240" w:lineRule="auto"/>
              <w:jc w:val="center"/>
            </w:pPr>
            <w:r>
              <w:rPr>
                <w:b/>
                <w:sz w:val="18"/>
              </w:rPr>
              <w:t>Indeks (%)</w:t>
            </w:r>
          </w:p>
        </w:tc>
      </w:tr>
      <w:tr w:rsidR="009269C0" w14:paraId="1226C6DB" w14:textId="77777777">
        <w:tblPrEx>
          <w:tblCellMar>
            <w:top w:w="0" w:type="dxa"/>
            <w:bottom w:w="0" w:type="dxa"/>
          </w:tblCellMar>
        </w:tblPrEx>
        <w:trPr>
          <w:cantSplit/>
          <w:trHeight w:val="560"/>
        </w:trPr>
        <w:tc>
          <w:tcPr>
            <w:tcW w:w="700" w:type="dxa"/>
            <w:tcMar>
              <w:top w:w="0" w:type="dxa"/>
              <w:bottom w:w="0" w:type="dxa"/>
            </w:tcMar>
            <w:vAlign w:val="center"/>
          </w:tcPr>
          <w:p w14:paraId="2FCA36B9" w14:textId="77777777" w:rsidR="009269C0" w:rsidRDefault="009269C0">
            <w:pPr>
              <w:keepNext/>
              <w:keepLines/>
              <w:spacing w:after="0" w:line="240" w:lineRule="auto"/>
            </w:pPr>
          </w:p>
        </w:tc>
        <w:tc>
          <w:tcPr>
            <w:tcW w:w="3180" w:type="dxa"/>
            <w:tcMar>
              <w:top w:w="0" w:type="dxa"/>
              <w:bottom w:w="0" w:type="dxa"/>
            </w:tcMar>
            <w:vAlign w:val="center"/>
          </w:tcPr>
          <w:p w14:paraId="7BA21A31" w14:textId="77777777" w:rsidR="009269C0"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14D3B27B" w14:textId="77777777" w:rsidR="009269C0" w:rsidRDefault="00000000">
            <w:pPr>
              <w:keepNext/>
              <w:keepLines/>
              <w:spacing w:after="0" w:line="240" w:lineRule="auto"/>
            </w:pPr>
            <w:r>
              <w:rPr>
                <w:sz w:val="18"/>
              </w:rPr>
              <w:t>Y004</w:t>
            </w:r>
          </w:p>
        </w:tc>
        <w:tc>
          <w:tcPr>
            <w:tcW w:w="1860" w:type="dxa"/>
            <w:tcMar>
              <w:top w:w="0" w:type="dxa"/>
              <w:bottom w:w="0" w:type="dxa"/>
            </w:tcMar>
            <w:vAlign w:val="center"/>
          </w:tcPr>
          <w:p w14:paraId="1872C2B9" w14:textId="77777777" w:rsidR="009269C0" w:rsidRDefault="00000000">
            <w:pPr>
              <w:keepNext/>
              <w:keepLines/>
              <w:spacing w:after="0" w:line="240" w:lineRule="auto"/>
              <w:jc w:val="right"/>
            </w:pPr>
            <w:r>
              <w:rPr>
                <w:sz w:val="18"/>
              </w:rPr>
              <w:t>0,00</w:t>
            </w:r>
          </w:p>
        </w:tc>
        <w:tc>
          <w:tcPr>
            <w:tcW w:w="1860" w:type="dxa"/>
            <w:tcMar>
              <w:top w:w="0" w:type="dxa"/>
              <w:bottom w:w="0" w:type="dxa"/>
            </w:tcMar>
            <w:vAlign w:val="center"/>
          </w:tcPr>
          <w:p w14:paraId="05A4E2DE" w14:textId="77777777" w:rsidR="009269C0" w:rsidRDefault="00000000">
            <w:pPr>
              <w:keepNext/>
              <w:keepLines/>
              <w:spacing w:after="0" w:line="240" w:lineRule="auto"/>
              <w:jc w:val="right"/>
            </w:pPr>
            <w:r>
              <w:rPr>
                <w:sz w:val="18"/>
              </w:rPr>
              <w:t>80.810,75</w:t>
            </w:r>
          </w:p>
        </w:tc>
        <w:tc>
          <w:tcPr>
            <w:tcW w:w="700" w:type="dxa"/>
            <w:tcMar>
              <w:top w:w="0" w:type="dxa"/>
              <w:bottom w:w="0" w:type="dxa"/>
            </w:tcMar>
            <w:vAlign w:val="center"/>
          </w:tcPr>
          <w:p w14:paraId="219FFFD8" w14:textId="77777777" w:rsidR="009269C0" w:rsidRDefault="00000000">
            <w:pPr>
              <w:keepNext/>
              <w:keepLines/>
              <w:spacing w:after="0" w:line="240" w:lineRule="auto"/>
              <w:jc w:val="right"/>
            </w:pPr>
            <w:r>
              <w:rPr>
                <w:sz w:val="18"/>
              </w:rPr>
              <w:t>-</w:t>
            </w:r>
          </w:p>
        </w:tc>
      </w:tr>
    </w:tbl>
    <w:p w14:paraId="74A77AAD" w14:textId="77777777" w:rsidR="009269C0" w:rsidRDefault="009269C0">
      <w:pPr>
        <w:spacing w:after="0"/>
      </w:pPr>
    </w:p>
    <w:p w14:paraId="581A24C0" w14:textId="77777777" w:rsidR="009269C0" w:rsidRDefault="00000000">
      <w:pPr>
        <w:spacing w:line="240" w:lineRule="auto"/>
        <w:jc w:val="both"/>
      </w:pPr>
      <w:r>
        <w:t xml:space="preserve">Bilježi se manjak prihoda u visini od 80.810,75 eura. Razlog tome je što prihodi poslovanja ne uspiju </w:t>
      </w:r>
      <w:proofErr w:type="spellStart"/>
      <w:r>
        <w:t>nadomijstiti</w:t>
      </w:r>
      <w:proofErr w:type="spellEnd"/>
      <w:r>
        <w:t xml:space="preserve"> manjak od rashoda za nabavu dugotrajne imovine.  Taj će se manjak pokriti iz prenesenih viškova prijašnjih godina.</w:t>
      </w:r>
    </w:p>
    <w:p w14:paraId="7E00B4C9" w14:textId="77777777" w:rsidR="009269C0" w:rsidRDefault="009269C0"/>
    <w:p w14:paraId="7C247774" w14:textId="77777777" w:rsidR="009269C0" w:rsidRDefault="00000000">
      <w:pPr>
        <w:keepNext/>
        <w:spacing w:line="240" w:lineRule="auto"/>
        <w:jc w:val="center"/>
      </w:pPr>
      <w:r>
        <w:rPr>
          <w:b/>
          <w:sz w:val="28"/>
        </w:rPr>
        <w:t>Izvještaj o obvezama</w:t>
      </w:r>
    </w:p>
    <w:p w14:paraId="1E07A7D6" w14:textId="77777777" w:rsidR="009269C0"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69C0" w14:paraId="2F2988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BE789D"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25D787"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CA5498"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C437A" w14:textId="77777777" w:rsidR="009269C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A558DB1" w14:textId="77777777" w:rsidR="009269C0" w:rsidRDefault="00000000">
            <w:pPr>
              <w:keepNext/>
              <w:keepLines/>
              <w:spacing w:after="0" w:line="240" w:lineRule="auto"/>
              <w:jc w:val="center"/>
            </w:pPr>
            <w:r>
              <w:rPr>
                <w:b/>
                <w:sz w:val="18"/>
              </w:rPr>
              <w:t>Indeks (%)</w:t>
            </w:r>
          </w:p>
        </w:tc>
      </w:tr>
      <w:tr w:rsidR="009269C0" w14:paraId="2AB299DB" w14:textId="77777777">
        <w:tblPrEx>
          <w:tblCellMar>
            <w:top w:w="0" w:type="dxa"/>
            <w:bottom w:w="0" w:type="dxa"/>
          </w:tblCellMar>
        </w:tblPrEx>
        <w:trPr>
          <w:cantSplit/>
          <w:trHeight w:val="560"/>
        </w:trPr>
        <w:tc>
          <w:tcPr>
            <w:tcW w:w="700" w:type="dxa"/>
            <w:tcMar>
              <w:top w:w="0" w:type="dxa"/>
              <w:bottom w:w="0" w:type="dxa"/>
            </w:tcMar>
            <w:vAlign w:val="center"/>
          </w:tcPr>
          <w:p w14:paraId="675B28FA" w14:textId="77777777" w:rsidR="009269C0" w:rsidRDefault="009269C0">
            <w:pPr>
              <w:keepNext/>
              <w:keepLines/>
              <w:spacing w:after="0" w:line="240" w:lineRule="auto"/>
            </w:pPr>
          </w:p>
        </w:tc>
        <w:tc>
          <w:tcPr>
            <w:tcW w:w="3180" w:type="dxa"/>
            <w:tcMar>
              <w:top w:w="0" w:type="dxa"/>
              <w:bottom w:w="0" w:type="dxa"/>
            </w:tcMar>
            <w:vAlign w:val="center"/>
          </w:tcPr>
          <w:p w14:paraId="2F3FE2DA" w14:textId="77777777" w:rsidR="009269C0"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0EE8B7A" w14:textId="77777777" w:rsidR="009269C0" w:rsidRDefault="00000000">
            <w:pPr>
              <w:keepNext/>
              <w:keepLines/>
              <w:spacing w:after="0" w:line="240" w:lineRule="auto"/>
            </w:pPr>
            <w:r>
              <w:rPr>
                <w:sz w:val="18"/>
              </w:rPr>
              <w:t>V001</w:t>
            </w:r>
          </w:p>
        </w:tc>
        <w:tc>
          <w:tcPr>
            <w:tcW w:w="1860" w:type="dxa"/>
            <w:tcMar>
              <w:top w:w="0" w:type="dxa"/>
              <w:bottom w:w="0" w:type="dxa"/>
            </w:tcMar>
            <w:vAlign w:val="center"/>
          </w:tcPr>
          <w:p w14:paraId="1A69AFB3" w14:textId="77777777" w:rsidR="009269C0" w:rsidRDefault="00000000">
            <w:pPr>
              <w:keepNext/>
              <w:keepLines/>
              <w:spacing w:after="0" w:line="240" w:lineRule="auto"/>
              <w:jc w:val="right"/>
            </w:pPr>
            <w:r>
              <w:rPr>
                <w:sz w:val="18"/>
              </w:rPr>
              <w:t>465.749,28</w:t>
            </w:r>
          </w:p>
        </w:tc>
        <w:tc>
          <w:tcPr>
            <w:tcW w:w="700" w:type="dxa"/>
            <w:tcMar>
              <w:top w:w="0" w:type="dxa"/>
              <w:bottom w:w="0" w:type="dxa"/>
            </w:tcMar>
            <w:vAlign w:val="center"/>
          </w:tcPr>
          <w:p w14:paraId="63861A7A" w14:textId="77777777" w:rsidR="009269C0" w:rsidRDefault="00000000">
            <w:pPr>
              <w:keepNext/>
              <w:keepLines/>
              <w:spacing w:after="0" w:line="240" w:lineRule="auto"/>
              <w:jc w:val="right"/>
            </w:pPr>
            <w:r>
              <w:rPr>
                <w:sz w:val="18"/>
              </w:rPr>
              <w:t>-</w:t>
            </w:r>
          </w:p>
        </w:tc>
      </w:tr>
    </w:tbl>
    <w:p w14:paraId="20C530BD" w14:textId="77777777" w:rsidR="009269C0" w:rsidRDefault="009269C0">
      <w:pPr>
        <w:spacing w:after="0"/>
      </w:pPr>
    </w:p>
    <w:p w14:paraId="47EB95C1" w14:textId="77777777" w:rsidR="009269C0" w:rsidRDefault="00000000">
      <w:pPr>
        <w:spacing w:line="240" w:lineRule="auto"/>
        <w:jc w:val="both"/>
      </w:pPr>
      <w:r>
        <w:t>Stanje obveza na dan 01.01. iznosi 465.749,28 eura. Povećanje obveza u izvještajnom razdoblju je 1.812.167,73 eura, dok je u istom razdoblju podmireno 1.917.628,31 eura obveza. Iz toga proizlazi da je stanje obveza na kraju izvještajnog razdoblja 360.288,70 eura. Stanje obveza na kraju izvještajnog razdoblja u iznosu od 360.288,70 eura,  sastoji se od dospjelih obveza na kraju razdoblja u visini 47.627,80 eura i od nedospjelih obveza na kraju izvještajnog razdoblja u iznosu od 312.660,90 eura.</w:t>
      </w:r>
    </w:p>
    <w:p w14:paraId="33DCF7D0" w14:textId="77777777" w:rsidR="009269C0" w:rsidRDefault="009269C0"/>
    <w:p w14:paraId="3F1BB337" w14:textId="77777777" w:rsidR="009269C0"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69C0" w14:paraId="4D1B67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B717DA"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1ADBFE"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7651EC"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31C2D9" w14:textId="77777777" w:rsidR="009269C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20CB8D3" w14:textId="77777777" w:rsidR="009269C0" w:rsidRDefault="00000000">
            <w:pPr>
              <w:keepNext/>
              <w:keepLines/>
              <w:spacing w:after="0" w:line="240" w:lineRule="auto"/>
              <w:jc w:val="center"/>
            </w:pPr>
            <w:r>
              <w:rPr>
                <w:b/>
                <w:sz w:val="18"/>
              </w:rPr>
              <w:t>Indeks (%)</w:t>
            </w:r>
          </w:p>
        </w:tc>
      </w:tr>
      <w:tr w:rsidR="009269C0" w14:paraId="50D4F332" w14:textId="77777777">
        <w:tblPrEx>
          <w:tblCellMar>
            <w:top w:w="0" w:type="dxa"/>
            <w:bottom w:w="0" w:type="dxa"/>
          </w:tblCellMar>
        </w:tblPrEx>
        <w:trPr>
          <w:cantSplit/>
          <w:trHeight w:val="560"/>
        </w:trPr>
        <w:tc>
          <w:tcPr>
            <w:tcW w:w="700" w:type="dxa"/>
            <w:tcMar>
              <w:top w:w="0" w:type="dxa"/>
              <w:bottom w:w="0" w:type="dxa"/>
            </w:tcMar>
            <w:vAlign w:val="center"/>
          </w:tcPr>
          <w:p w14:paraId="2F4FDC64" w14:textId="77777777" w:rsidR="009269C0" w:rsidRDefault="009269C0">
            <w:pPr>
              <w:keepNext/>
              <w:keepLines/>
              <w:spacing w:after="0" w:line="240" w:lineRule="auto"/>
            </w:pPr>
          </w:p>
        </w:tc>
        <w:tc>
          <w:tcPr>
            <w:tcW w:w="3180" w:type="dxa"/>
            <w:tcMar>
              <w:top w:w="0" w:type="dxa"/>
              <w:bottom w:w="0" w:type="dxa"/>
            </w:tcMar>
            <w:vAlign w:val="center"/>
          </w:tcPr>
          <w:p w14:paraId="25C6B0C9" w14:textId="77777777" w:rsidR="009269C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278DB4C" w14:textId="77777777" w:rsidR="009269C0" w:rsidRDefault="00000000">
            <w:pPr>
              <w:keepNext/>
              <w:keepLines/>
              <w:spacing w:after="0" w:line="240" w:lineRule="auto"/>
            </w:pPr>
            <w:r>
              <w:rPr>
                <w:sz w:val="18"/>
              </w:rPr>
              <w:t>V007</w:t>
            </w:r>
          </w:p>
        </w:tc>
        <w:tc>
          <w:tcPr>
            <w:tcW w:w="1860" w:type="dxa"/>
            <w:tcMar>
              <w:top w:w="0" w:type="dxa"/>
              <w:bottom w:w="0" w:type="dxa"/>
            </w:tcMar>
            <w:vAlign w:val="center"/>
          </w:tcPr>
          <w:p w14:paraId="0181C901" w14:textId="77777777" w:rsidR="009269C0" w:rsidRDefault="00000000">
            <w:pPr>
              <w:keepNext/>
              <w:keepLines/>
              <w:spacing w:after="0" w:line="240" w:lineRule="auto"/>
              <w:jc w:val="right"/>
            </w:pPr>
            <w:r>
              <w:rPr>
                <w:sz w:val="18"/>
              </w:rPr>
              <w:t>47.627,80</w:t>
            </w:r>
          </w:p>
        </w:tc>
        <w:tc>
          <w:tcPr>
            <w:tcW w:w="700" w:type="dxa"/>
            <w:tcMar>
              <w:top w:w="0" w:type="dxa"/>
              <w:bottom w:w="0" w:type="dxa"/>
            </w:tcMar>
            <w:vAlign w:val="center"/>
          </w:tcPr>
          <w:p w14:paraId="6B08EF65" w14:textId="77777777" w:rsidR="009269C0" w:rsidRDefault="00000000">
            <w:pPr>
              <w:keepNext/>
              <w:keepLines/>
              <w:spacing w:after="0" w:line="240" w:lineRule="auto"/>
              <w:jc w:val="right"/>
            </w:pPr>
            <w:r>
              <w:rPr>
                <w:sz w:val="18"/>
              </w:rPr>
              <w:t>-</w:t>
            </w:r>
          </w:p>
        </w:tc>
      </w:tr>
    </w:tbl>
    <w:p w14:paraId="1482B423" w14:textId="77777777" w:rsidR="009269C0" w:rsidRDefault="009269C0">
      <w:pPr>
        <w:spacing w:after="0"/>
      </w:pPr>
    </w:p>
    <w:p w14:paraId="75455690" w14:textId="77777777" w:rsidR="009269C0" w:rsidRDefault="00000000">
      <w:pPr>
        <w:spacing w:line="240" w:lineRule="auto"/>
        <w:jc w:val="both"/>
      </w:pPr>
      <w:r>
        <w:lastRenderedPageBreak/>
        <w:t>Dospjele obveze odnose na obveze za rashode poslovanja manjim djelom a većim djelom na obveze za nabavu nefinancijske imovine, točnije za podmirenja dobavljača za asfaltiranje nerazvrstanih cesta što će biti podmireno tijekom listopada 2025. godine.</w:t>
      </w:r>
    </w:p>
    <w:p w14:paraId="0016C6D5" w14:textId="77777777" w:rsidR="009269C0" w:rsidRDefault="009269C0"/>
    <w:p w14:paraId="04D677E1" w14:textId="77777777" w:rsidR="009269C0"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69C0" w14:paraId="617BCD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C1A372" w14:textId="77777777" w:rsidR="009269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A81018" w14:textId="77777777" w:rsidR="009269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7E3B84" w14:textId="77777777" w:rsidR="009269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BE05C7" w14:textId="77777777" w:rsidR="009269C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F0806D" w14:textId="77777777" w:rsidR="009269C0" w:rsidRDefault="00000000">
            <w:pPr>
              <w:keepNext/>
              <w:keepLines/>
              <w:spacing w:after="0" w:line="240" w:lineRule="auto"/>
              <w:jc w:val="center"/>
            </w:pPr>
            <w:r>
              <w:rPr>
                <w:b/>
                <w:sz w:val="18"/>
              </w:rPr>
              <w:t>Indeks (%)</w:t>
            </w:r>
          </w:p>
        </w:tc>
      </w:tr>
      <w:tr w:rsidR="009269C0" w14:paraId="7AC62DB2" w14:textId="77777777">
        <w:tblPrEx>
          <w:tblCellMar>
            <w:top w:w="0" w:type="dxa"/>
            <w:bottom w:w="0" w:type="dxa"/>
          </w:tblCellMar>
        </w:tblPrEx>
        <w:trPr>
          <w:cantSplit/>
          <w:trHeight w:val="560"/>
        </w:trPr>
        <w:tc>
          <w:tcPr>
            <w:tcW w:w="700" w:type="dxa"/>
            <w:tcMar>
              <w:top w:w="0" w:type="dxa"/>
              <w:bottom w:w="0" w:type="dxa"/>
            </w:tcMar>
            <w:vAlign w:val="center"/>
          </w:tcPr>
          <w:p w14:paraId="658119E8" w14:textId="77777777" w:rsidR="009269C0" w:rsidRDefault="009269C0">
            <w:pPr>
              <w:keepNext/>
              <w:keepLines/>
              <w:spacing w:after="0" w:line="240" w:lineRule="auto"/>
            </w:pPr>
          </w:p>
        </w:tc>
        <w:tc>
          <w:tcPr>
            <w:tcW w:w="3180" w:type="dxa"/>
            <w:tcMar>
              <w:top w:w="0" w:type="dxa"/>
              <w:bottom w:w="0" w:type="dxa"/>
            </w:tcMar>
            <w:vAlign w:val="center"/>
          </w:tcPr>
          <w:p w14:paraId="24CBC5EE" w14:textId="77777777" w:rsidR="009269C0"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874FD79" w14:textId="77777777" w:rsidR="009269C0" w:rsidRDefault="00000000">
            <w:pPr>
              <w:keepNext/>
              <w:keepLines/>
              <w:spacing w:after="0" w:line="240" w:lineRule="auto"/>
            </w:pPr>
            <w:r>
              <w:rPr>
                <w:sz w:val="18"/>
              </w:rPr>
              <w:t>V009</w:t>
            </w:r>
          </w:p>
        </w:tc>
        <w:tc>
          <w:tcPr>
            <w:tcW w:w="1860" w:type="dxa"/>
            <w:tcMar>
              <w:top w:w="0" w:type="dxa"/>
              <w:bottom w:w="0" w:type="dxa"/>
            </w:tcMar>
            <w:vAlign w:val="center"/>
          </w:tcPr>
          <w:p w14:paraId="7B2CE5C4" w14:textId="77777777" w:rsidR="009269C0" w:rsidRDefault="00000000">
            <w:pPr>
              <w:keepNext/>
              <w:keepLines/>
              <w:spacing w:after="0" w:line="240" w:lineRule="auto"/>
              <w:jc w:val="right"/>
            </w:pPr>
            <w:r>
              <w:rPr>
                <w:sz w:val="18"/>
              </w:rPr>
              <w:t>312.660,90</w:t>
            </w:r>
          </w:p>
        </w:tc>
        <w:tc>
          <w:tcPr>
            <w:tcW w:w="700" w:type="dxa"/>
            <w:tcMar>
              <w:top w:w="0" w:type="dxa"/>
              <w:bottom w:w="0" w:type="dxa"/>
            </w:tcMar>
            <w:vAlign w:val="center"/>
          </w:tcPr>
          <w:p w14:paraId="0477961B" w14:textId="77777777" w:rsidR="009269C0" w:rsidRDefault="00000000">
            <w:pPr>
              <w:keepNext/>
              <w:keepLines/>
              <w:spacing w:after="0" w:line="240" w:lineRule="auto"/>
              <w:jc w:val="right"/>
            </w:pPr>
            <w:r>
              <w:rPr>
                <w:sz w:val="18"/>
              </w:rPr>
              <w:t>-</w:t>
            </w:r>
          </w:p>
        </w:tc>
      </w:tr>
    </w:tbl>
    <w:p w14:paraId="1FD40618" w14:textId="77777777" w:rsidR="009269C0" w:rsidRDefault="009269C0">
      <w:pPr>
        <w:spacing w:after="0"/>
      </w:pPr>
    </w:p>
    <w:p w14:paraId="23FA8716" w14:textId="77777777" w:rsidR="009269C0" w:rsidRDefault="00000000">
      <w:pPr>
        <w:spacing w:line="240" w:lineRule="auto"/>
        <w:jc w:val="both"/>
      </w:pPr>
      <w:r>
        <w:t>Nedospjele obveze odnose se na plaću za službenike i namještenike za mjesec rujan 2025. godine koja dospijeva u listopadu 2025. godine, zatim na obveze za pomoći proračunskim korisnicima drugih proračuna te na nedospjelu obvezu za kredit u iznosu od 222.589,70 eura, te za nabavu nefinancijske imovine, 3. obračunska situacija za izgradnju rekreacijske zone u Kučići, što dospijeva na naplatu u studenom 2025. godine.</w:t>
      </w:r>
    </w:p>
    <w:p w14:paraId="5D1D0B97" w14:textId="77777777" w:rsidR="009269C0" w:rsidRDefault="009269C0"/>
    <w:sectPr w:rsidR="00926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C0"/>
    <w:rsid w:val="00756435"/>
    <w:rsid w:val="007C24CD"/>
    <w:rsid w:val="009269C0"/>
    <w:rsid w:val="00ED72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C135"/>
  <w15:docId w15:val="{D4EEE1F8-C6FF-4846-88B8-83AF8FD7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2226</Words>
  <Characters>12694</Characters>
  <Application>Microsoft Office Word</Application>
  <DocSecurity>0</DocSecurity>
  <Lines>105</Lines>
  <Paragraphs>29</Paragraphs>
  <ScaleCrop>false</ScaleCrop>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Računovodstvo</cp:lastModifiedBy>
  <cp:revision>2</cp:revision>
  <dcterms:created xsi:type="dcterms:W3CDTF">2025-10-09T12:01:00Z</dcterms:created>
  <dcterms:modified xsi:type="dcterms:W3CDTF">2025-10-09T12:01:00Z</dcterms:modified>
</cp:coreProperties>
</file>